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65F31">
      <w:pPr>
        <w:rPr>
          <w:rFonts w:hint="default" w:ascii="Adobe Arabic" w:hAnsi="Adobe Arabic" w:cs="Adobe Arabic"/>
          <w:b/>
          <w:bCs/>
          <w:sz w:val="32"/>
          <w:szCs w:val="32"/>
        </w:rPr>
      </w:pPr>
      <w:r>
        <w:rPr>
          <w:rFonts w:hint="default" w:ascii="Adobe Arabic" w:hAnsi="Adobe Arabic" w:cs="Adobe Arabic"/>
          <w:b/>
          <w:bCs/>
          <w:sz w:val="32"/>
          <w:szCs w:val="32"/>
        </w:rPr>
        <w:t>Leveraging IoT for Traceability, Predictive Maintenance, Safety, and Workforce Well-being in the Mining Industry</w:t>
      </w:r>
    </w:p>
    <w:p w14:paraId="3D193121">
      <w:pPr>
        <w:jc w:val="center"/>
        <w:rPr>
          <w:rFonts w:hint="default" w:ascii="Adobe Arabic" w:hAnsi="Adobe Arabic" w:cs="Adobe Arabic"/>
          <w:lang w:eastAsia="en-IN"/>
        </w:rPr>
      </w:pPr>
      <w:r>
        <w:rPr>
          <w:rFonts w:hint="default" w:ascii="Adobe Arabic" w:hAnsi="Adobe Arabic" w:cs="Adobe Arabic"/>
        </w:rPr>
        <w:drawing>
          <wp:inline distT="0" distB="0" distL="0" distR="0">
            <wp:extent cx="5731510" cy="3820795"/>
            <wp:effectExtent l="0" t="0" r="2540" b="8255"/>
            <wp:docPr id="1" name="Picture 1" descr="Connected open-pit mine with IoT-enabled equipment and an operations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nnected open-pit mine with IoT-enabled equipment and an operations cent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731510" cy="3821007"/>
                    </a:xfrm>
                    <a:prstGeom prst="rect">
                      <a:avLst/>
                    </a:prstGeom>
                    <a:noFill/>
                    <a:ln>
                      <a:noFill/>
                    </a:ln>
                  </pic:spPr>
                </pic:pic>
              </a:graphicData>
            </a:graphic>
          </wp:inline>
        </w:drawing>
      </w:r>
    </w:p>
    <w:p w14:paraId="3F2EA50E">
      <w:pPr>
        <w:rPr>
          <w:rFonts w:hint="default" w:ascii="Adobe Arabic" w:hAnsi="Adobe Arabic" w:cs="Adobe Arabic"/>
          <w:b/>
          <w:bCs/>
          <w:color w:val="0070C0"/>
        </w:rPr>
      </w:pPr>
      <w:r>
        <w:rPr>
          <w:rFonts w:hint="default" w:ascii="Adobe Arabic" w:hAnsi="Adobe Arabic" w:cs="Adobe Arabic"/>
          <w:b/>
          <w:bCs/>
          <w:color w:val="0070C0"/>
        </w:rPr>
        <w:t>Executive Summary</w:t>
      </w:r>
    </w:p>
    <w:p w14:paraId="7B7EE425">
      <w:pPr>
        <w:jc w:val="both"/>
        <w:rPr>
          <w:rFonts w:hint="default" w:ascii="Adobe Arabic" w:hAnsi="Adobe Arabic" w:cs="Adobe Arabic"/>
          <w:sz w:val="22"/>
          <w:szCs w:val="22"/>
        </w:rPr>
      </w:pPr>
      <w:r>
        <w:rPr>
          <w:rFonts w:hint="default" w:ascii="Adobe Arabic" w:hAnsi="Adobe Arabic" w:cs="Adobe Arabic"/>
          <w:sz w:val="22"/>
          <w:szCs w:val="22"/>
        </w:rPr>
        <w:t>The mining industry is undergoing a profound digital transformation driven by the need to improve operational efficiency, asset productivity, workforce safety, environm</w:t>
      </w:r>
      <w:bookmarkStart w:id="0" w:name="_GoBack"/>
      <w:bookmarkEnd w:id="0"/>
      <w:r>
        <w:rPr>
          <w:rFonts w:hint="default" w:ascii="Adobe Arabic" w:hAnsi="Adobe Arabic" w:cs="Adobe Arabic"/>
          <w:sz w:val="22"/>
          <w:szCs w:val="22"/>
        </w:rPr>
        <w:t>ental sustainability, and profitability. As mines become larger, deeper, and more complex, traditional methods of asset tracking, equipment maintenance, and personnel management are proving inadequate to meet modern operational demands.</w:t>
      </w:r>
    </w:p>
    <w:p w14:paraId="4E036C62">
      <w:pPr>
        <w:jc w:val="both"/>
        <w:rPr>
          <w:rFonts w:hint="default" w:ascii="Adobe Arabic" w:hAnsi="Adobe Arabic" w:cs="Adobe Arabic"/>
          <w:sz w:val="22"/>
          <w:szCs w:val="22"/>
        </w:rPr>
      </w:pPr>
      <w:r>
        <w:rPr>
          <w:rFonts w:hint="default" w:ascii="Adobe Arabic" w:hAnsi="Adobe Arabic" w:cs="Adobe Arabic"/>
          <w:sz w:val="22"/>
          <w:szCs w:val="22"/>
        </w:rPr>
        <w:t>The Internet of Things (IoT) has emerged as a foundational technology for the digital mine, enabling real-time visibility of people, equipment, materials, and processes across the mining value chain. Through connected sensors, intelligent devices, wireless networks, data analytics, and AI-powered platforms, IoT transforms mines from reactive operations into intelligent, data-driven enterprises.</w:t>
      </w:r>
    </w:p>
    <w:p w14:paraId="5D379D90">
      <w:pPr>
        <w:jc w:val="both"/>
        <w:rPr>
          <w:rFonts w:hint="default" w:ascii="Adobe Arabic" w:hAnsi="Adobe Arabic" w:cs="Adobe Arabic"/>
          <w:sz w:val="22"/>
          <w:szCs w:val="22"/>
        </w:rPr>
      </w:pPr>
      <w:r>
        <w:rPr>
          <w:rFonts w:hint="default" w:ascii="Adobe Arabic" w:hAnsi="Adobe Arabic" w:cs="Adobe Arabic"/>
          <w:sz w:val="22"/>
          <w:szCs w:val="22"/>
        </w:rPr>
        <w:t>A modern mining IoT strategy should go beyond connectivity and point solutions. The greatest value is created when data from mobile equipment, fixed assets, workers, environmental sensors, video systems, drones, and operational applications is brought together through secure connectivity, edge computing, AI-driven analytics, and integrated command-and-control capabilities. This enables mining organizations to move from visibility to prediction, coordinated response, and increasingly autonomous decision-making while maintaining appropriate cybersecurity, data governance, and workforce privacy safeguards.</w:t>
      </w:r>
    </w:p>
    <w:p w14:paraId="7461B8B3">
      <w:pPr>
        <w:jc w:val="both"/>
        <w:rPr>
          <w:rFonts w:hint="default" w:ascii="Adobe Arabic" w:hAnsi="Adobe Arabic" w:cs="Adobe Arabic"/>
          <w:sz w:val="22"/>
          <w:szCs w:val="22"/>
        </w:rPr>
      </w:pPr>
      <w:r>
        <w:rPr>
          <w:rFonts w:hint="default" w:ascii="Adobe Arabic" w:hAnsi="Adobe Arabic" w:cs="Adobe Arabic"/>
          <w:sz w:val="22"/>
          <w:szCs w:val="22"/>
        </w:rPr>
        <w:t>This white paper explores how IoT enables significant business value across four key areas:</w:t>
      </w:r>
    </w:p>
    <w:tbl>
      <w:tblPr>
        <w:tblStyle w:val="49"/>
        <w:tblW w:w="5000" w:type="pct"/>
        <w:tblInd w:w="0" w:type="dxa"/>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Layout w:type="autofit"/>
        <w:tblCellMar>
          <w:top w:w="0" w:type="dxa"/>
          <w:left w:w="108" w:type="dxa"/>
          <w:bottom w:w="0" w:type="dxa"/>
          <w:right w:w="108" w:type="dxa"/>
        </w:tblCellMar>
      </w:tblPr>
      <w:tblGrid>
        <w:gridCol w:w="3052"/>
        <w:gridCol w:w="6190"/>
      </w:tblGrid>
      <w:tr w14:paraId="7364E190">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c>
          <w:tcPr>
            <w:tcW w:w="0" w:type="auto"/>
            <w:tcBorders>
              <w:top w:val="single" w:color="156082" w:themeColor="accent1" w:sz="4" w:space="0"/>
              <w:left w:val="single" w:color="156082" w:themeColor="accent1" w:sz="4" w:space="0"/>
              <w:bottom w:val="single" w:color="156082" w:themeColor="accent1" w:sz="4" w:space="0"/>
              <w:right w:val="nil"/>
              <w:insideH w:val="single" w:sz="4" w:space="0"/>
              <w:insideV w:val="nil"/>
            </w:tcBorders>
            <w:shd w:val="clear" w:color="auto" w:fill="0F9ED5"/>
          </w:tcPr>
          <w:p w14:paraId="4461AD0A">
            <w:pPr>
              <w:spacing w:after="160" w:line="240" w:lineRule="auto"/>
              <w:rPr>
                <w:rFonts w:hint="default" w:ascii="Adobe Arabic" w:hAnsi="Adobe Arabic" w:cs="Adobe Arabic"/>
                <w:b/>
                <w:bCs/>
                <w:color w:val="FFFFFF"/>
                <w:lang w:eastAsia="en-IN"/>
              </w:rPr>
            </w:pPr>
            <w:r>
              <w:rPr>
                <w:rFonts w:hint="default" w:ascii="Adobe Arabic" w:hAnsi="Adobe Arabic" w:cs="Adobe Arabic"/>
                <w:b/>
                <w:bCs/>
                <w:color w:val="FFFFFF"/>
              </w:rPr>
              <w:t>Value area</w:t>
            </w:r>
          </w:p>
        </w:tc>
        <w:tc>
          <w:tcPr>
            <w:tcW w:w="0" w:type="auto"/>
            <w:tcBorders>
              <w:top w:val="single" w:color="156082" w:themeColor="accent1" w:sz="4" w:space="0"/>
              <w:bottom w:val="single" w:color="156082" w:themeColor="accent1" w:sz="4" w:space="0"/>
              <w:right w:val="single" w:color="156082" w:themeColor="accent1" w:sz="4" w:space="0"/>
              <w:insideH w:val="single" w:sz="4" w:space="0"/>
              <w:insideV w:val="nil"/>
            </w:tcBorders>
            <w:shd w:val="clear" w:color="auto" w:fill="0F9ED5"/>
          </w:tcPr>
          <w:p w14:paraId="723842BB">
            <w:pPr>
              <w:spacing w:after="160" w:line="240" w:lineRule="auto"/>
              <w:rPr>
                <w:rFonts w:hint="default" w:ascii="Adobe Arabic" w:hAnsi="Adobe Arabic" w:cs="Adobe Arabic"/>
                <w:b/>
                <w:bCs/>
                <w:color w:val="FFFFFF"/>
              </w:rPr>
            </w:pPr>
            <w:r>
              <w:rPr>
                <w:rFonts w:hint="default" w:ascii="Adobe Arabic" w:hAnsi="Adobe Arabic" w:cs="Adobe Arabic"/>
                <w:b/>
                <w:bCs/>
                <w:color w:val="FFFFFF"/>
              </w:rPr>
              <w:t>Operational focus</w:t>
            </w:r>
          </w:p>
        </w:tc>
      </w:tr>
      <w:tr w14:paraId="6CC40B51">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c>
          <w:tcPr>
            <w:tcW w:w="0" w:type="auto"/>
            <w:shd w:val="clear" w:color="auto" w:fill="C1E4F5" w:themeFill="accent1" w:themeFillTint="33"/>
          </w:tcPr>
          <w:p w14:paraId="002E453B">
            <w:pPr>
              <w:spacing w:after="160" w:line="240" w:lineRule="auto"/>
              <w:rPr>
                <w:rFonts w:hint="default" w:ascii="Adobe Arabic" w:hAnsi="Adobe Arabic" w:cs="Adobe Arabic"/>
                <w:b/>
                <w:bCs/>
              </w:rPr>
            </w:pPr>
            <w:r>
              <w:rPr>
                <w:rFonts w:hint="default" w:ascii="Adobe Arabic" w:hAnsi="Adobe Arabic" w:cs="Adobe Arabic"/>
                <w:b/>
                <w:bCs/>
              </w:rPr>
              <w:t>Trace and Track</w:t>
            </w:r>
          </w:p>
        </w:tc>
        <w:tc>
          <w:tcPr>
            <w:tcW w:w="0" w:type="auto"/>
            <w:shd w:val="clear" w:color="auto" w:fill="C1E4F5" w:themeFill="accent1" w:themeFillTint="33"/>
          </w:tcPr>
          <w:p w14:paraId="0A229BEA">
            <w:pPr>
              <w:spacing w:after="160" w:line="240" w:lineRule="auto"/>
              <w:rPr>
                <w:rFonts w:hint="default" w:ascii="Adobe Arabic" w:hAnsi="Adobe Arabic" w:cs="Adobe Arabic"/>
              </w:rPr>
            </w:pPr>
            <w:r>
              <w:rPr>
                <w:rFonts w:hint="default" w:ascii="Adobe Arabic" w:hAnsi="Adobe Arabic" w:cs="Adobe Arabic"/>
              </w:rPr>
              <w:t>Assets, equipment, materials, and personnel</w:t>
            </w:r>
          </w:p>
        </w:tc>
      </w:tr>
      <w:tr w14:paraId="43F8C09C">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c>
          <w:tcPr>
            <w:tcW w:w="0" w:type="auto"/>
          </w:tcPr>
          <w:p w14:paraId="37F30A31">
            <w:pPr>
              <w:spacing w:after="160" w:line="240" w:lineRule="auto"/>
              <w:rPr>
                <w:rFonts w:hint="default" w:ascii="Adobe Arabic" w:hAnsi="Adobe Arabic" w:cs="Adobe Arabic"/>
                <w:b/>
                <w:bCs/>
              </w:rPr>
            </w:pPr>
            <w:r>
              <w:rPr>
                <w:rFonts w:hint="default" w:ascii="Adobe Arabic" w:hAnsi="Adobe Arabic" w:cs="Adobe Arabic"/>
                <w:b/>
                <w:bCs/>
              </w:rPr>
              <w:t>Predictive and Preventive Maintenance</w:t>
            </w:r>
          </w:p>
        </w:tc>
        <w:tc>
          <w:tcPr>
            <w:tcW w:w="0" w:type="auto"/>
          </w:tcPr>
          <w:p w14:paraId="01DADA63">
            <w:pPr>
              <w:spacing w:after="160" w:line="240" w:lineRule="auto"/>
              <w:rPr>
                <w:rFonts w:hint="default" w:ascii="Adobe Arabic" w:hAnsi="Adobe Arabic" w:cs="Adobe Arabic"/>
              </w:rPr>
            </w:pPr>
            <w:r>
              <w:rPr>
                <w:rFonts w:hint="default" w:ascii="Adobe Arabic" w:hAnsi="Adobe Arabic" w:cs="Adobe Arabic"/>
              </w:rPr>
              <w:t>Equipment health, failure prediction, and planned intervention</w:t>
            </w:r>
          </w:p>
        </w:tc>
      </w:tr>
      <w:tr w14:paraId="2DA04319">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c>
          <w:tcPr>
            <w:tcW w:w="0" w:type="auto"/>
            <w:shd w:val="clear" w:color="auto" w:fill="C1E4F5" w:themeFill="accent1" w:themeFillTint="33"/>
          </w:tcPr>
          <w:p w14:paraId="390206CD">
            <w:pPr>
              <w:spacing w:after="160" w:line="240" w:lineRule="auto"/>
              <w:rPr>
                <w:rFonts w:hint="default" w:ascii="Adobe Arabic" w:hAnsi="Adobe Arabic" w:cs="Adobe Arabic"/>
                <w:b/>
                <w:bCs/>
              </w:rPr>
            </w:pPr>
            <w:r>
              <w:rPr>
                <w:rFonts w:hint="default" w:ascii="Adobe Arabic" w:hAnsi="Adobe Arabic" w:cs="Adobe Arabic"/>
                <w:b/>
                <w:bCs/>
              </w:rPr>
              <w:t>Safety and Risk Management</w:t>
            </w:r>
          </w:p>
        </w:tc>
        <w:tc>
          <w:tcPr>
            <w:tcW w:w="0" w:type="auto"/>
            <w:shd w:val="clear" w:color="auto" w:fill="C1E4F5" w:themeFill="accent1" w:themeFillTint="33"/>
          </w:tcPr>
          <w:p w14:paraId="1DCBC70F">
            <w:pPr>
              <w:spacing w:after="160" w:line="240" w:lineRule="auto"/>
              <w:rPr>
                <w:rFonts w:hint="default" w:ascii="Adobe Arabic" w:hAnsi="Adobe Arabic" w:cs="Adobe Arabic"/>
              </w:rPr>
            </w:pPr>
            <w:r>
              <w:rPr>
                <w:rFonts w:hint="default" w:ascii="Adobe Arabic" w:hAnsi="Adobe Arabic" w:cs="Adobe Arabic"/>
              </w:rPr>
              <w:t>Collision avoidance, environmental monitoring, geofencing, and emergency response</w:t>
            </w:r>
          </w:p>
        </w:tc>
      </w:tr>
      <w:tr w14:paraId="7498375E">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c>
          <w:tcPr>
            <w:tcW w:w="0" w:type="auto"/>
          </w:tcPr>
          <w:p w14:paraId="783AD5D8">
            <w:pPr>
              <w:spacing w:after="160" w:line="240" w:lineRule="auto"/>
              <w:rPr>
                <w:rFonts w:hint="default" w:ascii="Adobe Arabic" w:hAnsi="Adobe Arabic" w:cs="Adobe Arabic"/>
                <w:b/>
                <w:bCs/>
              </w:rPr>
            </w:pPr>
            <w:r>
              <w:rPr>
                <w:rFonts w:hint="default" w:ascii="Adobe Arabic" w:hAnsi="Adobe Arabic" w:cs="Adobe Arabic"/>
                <w:b/>
                <w:bCs/>
              </w:rPr>
              <w:t>Workforce Health and Well-being</w:t>
            </w:r>
          </w:p>
        </w:tc>
        <w:tc>
          <w:tcPr>
            <w:tcW w:w="0" w:type="auto"/>
          </w:tcPr>
          <w:p w14:paraId="042AAF6A">
            <w:pPr>
              <w:spacing w:after="160" w:line="240" w:lineRule="auto"/>
              <w:rPr>
                <w:rFonts w:hint="default" w:ascii="Adobe Arabic" w:hAnsi="Adobe Arabic" w:cs="Adobe Arabic"/>
              </w:rPr>
            </w:pPr>
            <w:r>
              <w:rPr>
                <w:rFonts w:hint="default" w:ascii="Adobe Arabic" w:hAnsi="Adobe Arabic" w:cs="Adobe Arabic"/>
              </w:rPr>
              <w:t>Wearables, fatigue management, lone-worker protection, and responsible analytics</w:t>
            </w:r>
          </w:p>
        </w:tc>
      </w:tr>
    </w:tbl>
    <w:p w14:paraId="31173D7D">
      <w:pPr>
        <w:rPr>
          <w:rFonts w:hint="default" w:ascii="Adobe Arabic" w:hAnsi="Adobe Arabic" w:cs="Adobe Arabic"/>
          <w:lang w:eastAsia="en-IN"/>
        </w:rPr>
      </w:pPr>
    </w:p>
    <w:p w14:paraId="38C44C86">
      <w:pPr>
        <w:jc w:val="both"/>
        <w:rPr>
          <w:rFonts w:hint="default" w:ascii="Adobe Arabic" w:hAnsi="Adobe Arabic" w:cs="Adobe Arabic"/>
          <w:sz w:val="22"/>
          <w:szCs w:val="22"/>
        </w:rPr>
      </w:pPr>
      <w:r>
        <w:rPr>
          <w:rFonts w:hint="default" w:ascii="Adobe Arabic" w:hAnsi="Adobe Arabic" w:cs="Adobe Arabic"/>
          <w:sz w:val="22"/>
          <w:szCs w:val="22"/>
        </w:rPr>
        <w:t>It also outlines a strategic roadmap for mining organizations seeking to implement an integrated IoT ecosystem.</w:t>
      </w:r>
    </w:p>
    <w:p w14:paraId="0AFA69C0">
      <w:pPr>
        <w:rPr>
          <w:rFonts w:hint="default" w:ascii="Adobe Arabic" w:hAnsi="Adobe Arabic" w:cs="Adobe Arabic"/>
          <w:b/>
          <w:bCs/>
          <w:color w:val="0070C0"/>
        </w:rPr>
      </w:pPr>
      <w:r>
        <w:rPr>
          <w:rFonts w:hint="default" w:ascii="Adobe Arabic" w:hAnsi="Adobe Arabic" w:cs="Adobe Arabic"/>
          <w:b/>
          <w:bCs/>
          <w:color w:val="0070C0"/>
        </w:rPr>
        <w:t>Industry Context</w:t>
      </w:r>
    </w:p>
    <w:p w14:paraId="43B7AEDC">
      <w:pPr>
        <w:jc w:val="both"/>
        <w:rPr>
          <w:rFonts w:hint="default" w:ascii="Adobe Arabic" w:hAnsi="Adobe Arabic" w:cs="Adobe Arabic"/>
          <w:sz w:val="22"/>
          <w:szCs w:val="22"/>
        </w:rPr>
      </w:pPr>
      <w:r>
        <w:rPr>
          <w:rFonts w:hint="default" w:ascii="Adobe Arabic" w:hAnsi="Adobe Arabic" w:cs="Adobe Arabic"/>
          <w:sz w:val="22"/>
          <w:szCs w:val="22"/>
        </w:rPr>
        <w:t>Mining organizations face multiple operational challenges:</w:t>
      </w:r>
    </w:p>
    <w:p w14:paraId="78BC0C07">
      <w:pPr>
        <w:pStyle w:val="35"/>
        <w:numPr>
          <w:ilvl w:val="0"/>
          <w:numId w:val="1"/>
        </w:numPr>
        <w:jc w:val="both"/>
        <w:rPr>
          <w:rFonts w:hint="default" w:ascii="Adobe Arabic" w:hAnsi="Adobe Arabic" w:cs="Adobe Arabic"/>
          <w:sz w:val="22"/>
          <w:szCs w:val="22"/>
        </w:rPr>
      </w:pPr>
      <w:r>
        <w:rPr>
          <w:rFonts w:hint="default" w:ascii="Adobe Arabic" w:hAnsi="Adobe Arabic" w:cs="Adobe Arabic"/>
          <w:sz w:val="22"/>
          <w:szCs w:val="22"/>
        </w:rPr>
        <w:t>Limited visibility of mobile assets and equipment</w:t>
      </w:r>
    </w:p>
    <w:p w14:paraId="61266E23">
      <w:pPr>
        <w:pStyle w:val="35"/>
        <w:numPr>
          <w:ilvl w:val="0"/>
          <w:numId w:val="1"/>
        </w:numPr>
        <w:jc w:val="both"/>
        <w:rPr>
          <w:rFonts w:hint="default" w:ascii="Adobe Arabic" w:hAnsi="Adobe Arabic" w:cs="Adobe Arabic"/>
          <w:sz w:val="22"/>
          <w:szCs w:val="22"/>
        </w:rPr>
      </w:pPr>
      <w:r>
        <w:rPr>
          <w:rFonts w:hint="default" w:ascii="Adobe Arabic" w:hAnsi="Adobe Arabic" w:cs="Adobe Arabic"/>
          <w:sz w:val="22"/>
          <w:szCs w:val="22"/>
        </w:rPr>
        <w:t>Equipment failures causing production losses</w:t>
      </w:r>
    </w:p>
    <w:p w14:paraId="1A5C2FD3">
      <w:pPr>
        <w:pStyle w:val="35"/>
        <w:numPr>
          <w:ilvl w:val="0"/>
          <w:numId w:val="1"/>
        </w:numPr>
        <w:jc w:val="both"/>
        <w:rPr>
          <w:rFonts w:hint="default" w:ascii="Adobe Arabic" w:hAnsi="Adobe Arabic" w:cs="Adobe Arabic"/>
          <w:sz w:val="22"/>
          <w:szCs w:val="22"/>
        </w:rPr>
      </w:pPr>
      <w:r>
        <w:rPr>
          <w:rFonts w:hint="default" w:ascii="Adobe Arabic" w:hAnsi="Adobe Arabic" w:cs="Adobe Arabic"/>
          <w:sz w:val="22"/>
          <w:szCs w:val="22"/>
        </w:rPr>
        <w:t>Safety risks in hazardous environments</w:t>
      </w:r>
    </w:p>
    <w:p w14:paraId="5DA375D6">
      <w:pPr>
        <w:pStyle w:val="35"/>
        <w:numPr>
          <w:ilvl w:val="0"/>
          <w:numId w:val="1"/>
        </w:numPr>
        <w:jc w:val="both"/>
        <w:rPr>
          <w:rFonts w:hint="default" w:ascii="Adobe Arabic" w:hAnsi="Adobe Arabic" w:cs="Adobe Arabic"/>
          <w:sz w:val="22"/>
          <w:szCs w:val="22"/>
        </w:rPr>
      </w:pPr>
      <w:r>
        <w:rPr>
          <w:rFonts w:hint="default" w:ascii="Adobe Arabic" w:hAnsi="Adobe Arabic" w:cs="Adobe Arabic"/>
          <w:sz w:val="22"/>
          <w:szCs w:val="22"/>
        </w:rPr>
        <w:t>Increasing regulatory compliance requirements</w:t>
      </w:r>
    </w:p>
    <w:p w14:paraId="62EC77D2">
      <w:pPr>
        <w:pStyle w:val="35"/>
        <w:numPr>
          <w:ilvl w:val="0"/>
          <w:numId w:val="1"/>
        </w:numPr>
        <w:jc w:val="both"/>
        <w:rPr>
          <w:rFonts w:hint="default" w:ascii="Adobe Arabic" w:hAnsi="Adobe Arabic" w:cs="Adobe Arabic"/>
          <w:sz w:val="22"/>
          <w:szCs w:val="22"/>
        </w:rPr>
      </w:pPr>
      <w:r>
        <w:rPr>
          <w:rFonts w:hint="default" w:ascii="Adobe Arabic" w:hAnsi="Adobe Arabic" w:cs="Adobe Arabic"/>
          <w:sz w:val="22"/>
          <w:szCs w:val="22"/>
        </w:rPr>
        <w:t>Rising maintenance costs</w:t>
      </w:r>
    </w:p>
    <w:p w14:paraId="24BD8E67">
      <w:pPr>
        <w:pStyle w:val="35"/>
        <w:numPr>
          <w:ilvl w:val="0"/>
          <w:numId w:val="1"/>
        </w:numPr>
        <w:jc w:val="both"/>
        <w:rPr>
          <w:rFonts w:hint="default" w:ascii="Adobe Arabic" w:hAnsi="Adobe Arabic" w:cs="Adobe Arabic"/>
          <w:sz w:val="22"/>
          <w:szCs w:val="22"/>
        </w:rPr>
      </w:pPr>
      <w:r>
        <w:rPr>
          <w:rFonts w:hint="default" w:ascii="Adobe Arabic" w:hAnsi="Adobe Arabic" w:cs="Adobe Arabic"/>
          <w:sz w:val="22"/>
          <w:szCs w:val="22"/>
        </w:rPr>
        <w:t>Workforce shortages and productivity pressures</w:t>
      </w:r>
    </w:p>
    <w:p w14:paraId="0282CC0D">
      <w:pPr>
        <w:pStyle w:val="35"/>
        <w:numPr>
          <w:ilvl w:val="0"/>
          <w:numId w:val="1"/>
        </w:numPr>
        <w:jc w:val="both"/>
        <w:rPr>
          <w:rFonts w:hint="default" w:ascii="Adobe Arabic" w:hAnsi="Adobe Arabic" w:cs="Adobe Arabic"/>
          <w:sz w:val="22"/>
          <w:szCs w:val="22"/>
        </w:rPr>
      </w:pPr>
      <w:r>
        <w:rPr>
          <w:rFonts w:hint="default" w:ascii="Adobe Arabic" w:hAnsi="Adobe Arabic" w:cs="Adobe Arabic"/>
          <w:sz w:val="22"/>
          <w:szCs w:val="22"/>
        </w:rPr>
        <w:t>Remote and geographically dispersed operations</w:t>
      </w:r>
    </w:p>
    <w:p w14:paraId="6325C0EC">
      <w:pPr>
        <w:jc w:val="both"/>
        <w:rPr>
          <w:rFonts w:hint="default" w:ascii="Adobe Arabic" w:hAnsi="Adobe Arabic" w:cs="Adobe Arabic"/>
          <w:sz w:val="22"/>
          <w:szCs w:val="22"/>
        </w:rPr>
      </w:pPr>
      <w:r>
        <w:rPr>
          <w:rFonts w:hint="default" w:ascii="Adobe Arabic" w:hAnsi="Adobe Arabic" w:cs="Adobe Arabic"/>
          <w:sz w:val="22"/>
          <w:szCs w:val="22"/>
        </w:rPr>
        <w:t>According to leading digital transformation frameworks, mining companies must evolve from siloed operations toward connected, autonomous, and intelligent mining ecosystems.</w:t>
      </w:r>
    </w:p>
    <w:p w14:paraId="3C3E0602">
      <w:pPr>
        <w:jc w:val="both"/>
        <w:rPr>
          <w:rFonts w:hint="default" w:ascii="Adobe Arabic" w:hAnsi="Adobe Arabic" w:cs="Adobe Arabic"/>
          <w:sz w:val="22"/>
          <w:szCs w:val="22"/>
        </w:rPr>
      </w:pPr>
      <w:r>
        <w:rPr>
          <w:rFonts w:hint="default" w:ascii="Adobe Arabic" w:hAnsi="Adobe Arabic" w:cs="Adobe Arabic"/>
          <w:sz w:val="22"/>
          <w:szCs w:val="22"/>
        </w:rPr>
        <w:t>The technology landscape is also expanding beyond basic asset tracking. AI-enabled video analytics, drones and robotics, digital twins, edge intelligence, private wireless networks, and integrated operations centres are increasingly important components of a connected mine. Their value depends on interoperability with existing Fleet Management Systems (FMS), Enterprise Asset Management (EAM), ERP, safety, environmental, and production systems.</w:t>
      </w:r>
    </w:p>
    <w:p w14:paraId="3A6718B1">
      <w:pPr>
        <w:jc w:val="both"/>
        <w:rPr>
          <w:rFonts w:hint="default" w:ascii="Adobe Arabic" w:hAnsi="Adobe Arabic" w:cs="Adobe Arabic"/>
          <w:i/>
          <w:iCs/>
          <w:color w:val="3B7D23" w:themeColor="accent6" w:themeShade="BF"/>
          <w:sz w:val="22"/>
          <w:szCs w:val="22"/>
        </w:rPr>
      </w:pPr>
      <w:r>
        <w:rPr>
          <w:rFonts w:hint="default" w:ascii="Adobe Arabic" w:hAnsi="Adobe Arabic" w:cs="Adobe Arabic"/>
          <w:i/>
          <w:iCs/>
          <w:color w:val="3B7D23" w:themeColor="accent6" w:themeShade="BF"/>
          <w:sz w:val="22"/>
          <w:szCs w:val="22"/>
        </w:rPr>
        <w:t>IoT provides the digital foundation for this transition.</w:t>
      </w:r>
    </w:p>
    <w:p w14:paraId="30B449F7">
      <w:pPr>
        <w:rPr>
          <w:rFonts w:hint="default" w:ascii="Adobe Arabic" w:hAnsi="Adobe Arabic" w:cs="Adobe Arabic"/>
          <w:b/>
          <w:bCs/>
          <w:color w:val="0070C0"/>
        </w:rPr>
      </w:pPr>
      <w:r>
        <w:rPr>
          <w:rFonts w:hint="default" w:ascii="Adobe Arabic" w:hAnsi="Adobe Arabic" w:cs="Adobe Arabic"/>
          <w:b/>
          <w:bCs/>
          <w:color w:val="0070C0"/>
        </w:rPr>
        <w:t>IoT in Mining: The Digital Nervous System of Operations</w:t>
      </w:r>
    </w:p>
    <w:p w14:paraId="0F866319">
      <w:pPr>
        <w:rPr>
          <w:rFonts w:hint="default" w:ascii="Adobe Arabic" w:hAnsi="Adobe Arabic" w:cs="Adobe Arabic"/>
        </w:rPr>
      </w:pPr>
      <w:r>
        <w:rPr>
          <w:rFonts w:hint="default" w:ascii="Adobe Arabic" w:hAnsi="Adobe Arabic" w:cs="Adobe Arabic"/>
        </w:rPr>
        <w:t>An IoT ecosystem in mining typically consists of:</w:t>
      </w:r>
    </w:p>
    <w:p w14:paraId="31946BCF">
      <w:pPr>
        <w:rPr>
          <w:rFonts w:hint="default" w:ascii="Adobe Arabic" w:hAnsi="Adobe Arabic" w:cs="Adobe Arabic"/>
          <w:b/>
          <w:bCs/>
          <w:sz w:val="22"/>
          <w:szCs w:val="22"/>
        </w:rPr>
      </w:pPr>
      <w:r>
        <w:rPr>
          <w:rFonts w:hint="default" w:ascii="Adobe Arabic" w:hAnsi="Adobe Arabic" w:cs="Adobe Arabic"/>
          <w:b/>
          <w:bCs/>
          <w:sz w:val="22"/>
          <w:szCs w:val="22"/>
        </w:rPr>
        <w:t>Connected Devices</w:t>
      </w:r>
    </w:p>
    <w:p w14:paraId="25F8A0BE">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Smart sensors</w:t>
      </w:r>
    </w:p>
    <w:p w14:paraId="4E3B69DF">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Wearables</w:t>
      </w:r>
    </w:p>
    <w:p w14:paraId="5859697A">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GPS trackers</w:t>
      </w:r>
    </w:p>
    <w:p w14:paraId="79304283">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Environmental sensors</w:t>
      </w:r>
    </w:p>
    <w:p w14:paraId="4B748996">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Industrial gateways</w:t>
      </w:r>
    </w:p>
    <w:p w14:paraId="50CF0BD8">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Smart cameras</w:t>
      </w:r>
    </w:p>
    <w:p w14:paraId="32063AD5">
      <w:pPr>
        <w:rPr>
          <w:rFonts w:hint="default" w:ascii="Adobe Arabic" w:hAnsi="Adobe Arabic" w:cs="Adobe Arabic"/>
          <w:b/>
          <w:bCs/>
          <w:sz w:val="22"/>
          <w:szCs w:val="22"/>
        </w:rPr>
      </w:pPr>
      <w:r>
        <w:rPr>
          <w:rFonts w:hint="default" w:ascii="Adobe Arabic" w:hAnsi="Adobe Arabic" w:cs="Adobe Arabic"/>
          <w:b/>
          <w:bCs/>
          <w:sz w:val="22"/>
          <w:szCs w:val="22"/>
        </w:rPr>
        <w:t>Connectivity Infrastructure</w:t>
      </w:r>
    </w:p>
    <w:p w14:paraId="340BBD4B">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Private LTE/5G</w:t>
      </w:r>
    </w:p>
    <w:p w14:paraId="4169BDC3">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Wi-Fi Mesh Networks</w:t>
      </w:r>
    </w:p>
    <w:p w14:paraId="10A1C1AD">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LoRaWAN</w:t>
      </w:r>
    </w:p>
    <w:p w14:paraId="288FC98A">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Satellite Communications</w:t>
      </w:r>
    </w:p>
    <w:p w14:paraId="2F3375BF">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Edge Computing Platforms</w:t>
      </w:r>
    </w:p>
    <w:p w14:paraId="6438E638">
      <w:pPr>
        <w:rPr>
          <w:rFonts w:hint="default" w:ascii="Adobe Arabic" w:hAnsi="Adobe Arabic" w:cs="Adobe Arabic"/>
          <w:b/>
          <w:bCs/>
          <w:sz w:val="22"/>
          <w:szCs w:val="22"/>
        </w:rPr>
      </w:pPr>
      <w:r>
        <w:rPr>
          <w:rFonts w:hint="default" w:ascii="Adobe Arabic" w:hAnsi="Adobe Arabic" w:cs="Adobe Arabic"/>
          <w:b/>
          <w:bCs/>
          <w:sz w:val="22"/>
          <w:szCs w:val="22"/>
        </w:rPr>
        <w:t>Digital Platforms</w:t>
      </w:r>
    </w:p>
    <w:p w14:paraId="75E4D745">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Asset Management Systems</w:t>
      </w:r>
    </w:p>
    <w:p w14:paraId="6723659B">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Fleet Management Systems</w:t>
      </w:r>
    </w:p>
    <w:p w14:paraId="53FDC8BE">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Operations Management Solutions</w:t>
      </w:r>
    </w:p>
    <w:p w14:paraId="4A0B0E45">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AI and Analytics Platforms</w:t>
      </w:r>
    </w:p>
    <w:p w14:paraId="252F4077">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Digital Twin Environments</w:t>
      </w:r>
    </w:p>
    <w:p w14:paraId="6399D7D0">
      <w:pPr>
        <w:rPr>
          <w:rFonts w:hint="default" w:ascii="Adobe Arabic" w:hAnsi="Adobe Arabic" w:cs="Adobe Arabic"/>
          <w:b/>
          <w:bCs/>
          <w:sz w:val="22"/>
          <w:szCs w:val="22"/>
        </w:rPr>
      </w:pPr>
      <w:r>
        <w:rPr>
          <w:rFonts w:hint="default" w:ascii="Adobe Arabic" w:hAnsi="Adobe Arabic" w:cs="Adobe Arabic"/>
          <w:b/>
          <w:bCs/>
          <w:sz w:val="22"/>
          <w:szCs w:val="22"/>
        </w:rPr>
        <w:t>AI-enabled Video Intelligence</w:t>
      </w:r>
    </w:p>
    <w:p w14:paraId="1FF93DB3">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Computer vision for PPE, intrusion, vehicle-person interaction, smoke/fire, and unsafe-condition detection</w:t>
      </w:r>
    </w:p>
    <w:p w14:paraId="37C0CE86">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Drone and robotic inspection data</w:t>
      </w:r>
    </w:p>
    <w:p w14:paraId="7ABFC3FE">
      <w:pPr>
        <w:rPr>
          <w:rFonts w:hint="default" w:ascii="Adobe Arabic" w:hAnsi="Adobe Arabic" w:cs="Adobe Arabic"/>
          <w:b/>
          <w:bCs/>
          <w:sz w:val="22"/>
          <w:szCs w:val="22"/>
        </w:rPr>
      </w:pPr>
      <w:r>
        <w:rPr>
          <w:rFonts w:hint="default" w:ascii="Adobe Arabic" w:hAnsi="Adobe Arabic" w:cs="Adobe Arabic"/>
          <w:b/>
          <w:bCs/>
          <w:sz w:val="22"/>
          <w:szCs w:val="22"/>
        </w:rPr>
        <w:t>Event and Integration Layer</w:t>
      </w:r>
    </w:p>
    <w:p w14:paraId="29CED4E5">
      <w:pPr>
        <w:pStyle w:val="35"/>
        <w:numPr>
          <w:ilvl w:val="0"/>
          <w:numId w:val="2"/>
        </w:numPr>
        <w:rPr>
          <w:rFonts w:hint="default" w:ascii="Adobe Arabic" w:hAnsi="Adobe Arabic" w:cs="Adobe Arabic"/>
          <w:sz w:val="22"/>
          <w:szCs w:val="22"/>
        </w:rPr>
      </w:pPr>
      <w:r>
        <w:rPr>
          <w:rFonts w:hint="default" w:ascii="Adobe Arabic" w:hAnsi="Adobe Arabic" w:cs="Adobe Arabic"/>
          <w:sz w:val="22"/>
          <w:szCs w:val="22"/>
        </w:rPr>
        <w:t>Event bus / middleware for real-time alerts, workflow orchestration, and system interoperability</w:t>
      </w:r>
    </w:p>
    <w:p w14:paraId="20C8CF14">
      <w:pPr>
        <w:jc w:val="both"/>
        <w:rPr>
          <w:rFonts w:hint="default" w:ascii="Adobe Arabic" w:hAnsi="Adobe Arabic" w:cs="Adobe Arabic"/>
          <w:sz w:val="22"/>
          <w:szCs w:val="22"/>
        </w:rPr>
      </w:pPr>
      <w:r>
        <w:rPr>
          <w:rFonts w:hint="default" w:ascii="Adobe Arabic" w:hAnsi="Adobe Arabic" w:cs="Adobe Arabic"/>
          <w:sz w:val="22"/>
          <w:szCs w:val="22"/>
        </w:rPr>
        <w:t>Together, these technologies create a real-time operational view of the entire mining environment.</w:t>
      </w:r>
    </w:p>
    <w:p w14:paraId="7ECA2523">
      <w:pPr>
        <w:jc w:val="both"/>
        <w:rPr>
          <w:rFonts w:hint="default" w:ascii="Adobe Arabic" w:hAnsi="Adobe Arabic" w:cs="Adobe Arabic"/>
        </w:rPr>
      </w:pPr>
      <w:r>
        <w:rPr>
          <w:rFonts w:hint="default" w:ascii="Adobe Arabic" w:hAnsi="Adobe Arabic" w:cs="Adobe Arabic"/>
          <w:sz w:val="22"/>
          <w:szCs w:val="22"/>
        </w:rPr>
        <w:t>For geographically dispersed mines, the architecture should support edge processing and store-and-forward operation so that critical safety and equipment functions can continue during temporary network outages.</w:t>
      </w:r>
    </w:p>
    <w:p w14:paraId="6B846C37">
      <w:pPr>
        <w:jc w:val="center"/>
        <w:rPr>
          <w:rFonts w:hint="default" w:ascii="Adobe Arabic" w:hAnsi="Adobe Arabic" w:cs="Adobe Arabic"/>
          <w:lang w:eastAsia="en-IN"/>
        </w:rPr>
      </w:pPr>
      <w:r>
        <w:rPr>
          <w:rFonts w:hint="default" w:ascii="Adobe Arabic" w:hAnsi="Adobe Arabic" w:cs="Adobe Arabic"/>
        </w:rPr>
        <w:drawing>
          <wp:inline distT="0" distB="0" distL="0" distR="0">
            <wp:extent cx="4632325" cy="3088005"/>
            <wp:effectExtent l="0" t="0" r="0" b="0"/>
            <wp:docPr id="1399683678" name="Picture 1399683678" descr="Layered mining IoT architecture from field devices and connectivity through edge computing, analytics, digital twin, and command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83678" name="Picture 1399683678" descr="Layered mining IoT architecture from field devices and connectivity through edge computing, analytics, digital twin, and command centr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47305" cy="3098203"/>
                    </a:xfrm>
                    <a:prstGeom prst="rect">
                      <a:avLst/>
                    </a:prstGeom>
                    <a:noFill/>
                    <a:ln>
                      <a:noFill/>
                    </a:ln>
                  </pic:spPr>
                </pic:pic>
              </a:graphicData>
            </a:graphic>
          </wp:inline>
        </w:drawing>
      </w:r>
    </w:p>
    <w:p w14:paraId="3513ECB2">
      <w:pPr>
        <w:pStyle w:val="35"/>
        <w:numPr>
          <w:ilvl w:val="0"/>
          <w:numId w:val="3"/>
        </w:numPr>
        <w:rPr>
          <w:rFonts w:hint="default" w:ascii="Adobe Arabic" w:hAnsi="Adobe Arabic" w:cs="Adobe Arabic"/>
          <w:b/>
          <w:bCs/>
        </w:rPr>
      </w:pPr>
      <w:r>
        <w:rPr>
          <w:rFonts w:hint="default" w:ascii="Adobe Arabic" w:hAnsi="Adobe Arabic" w:cs="Adobe Arabic"/>
          <w:b/>
          <w:bCs/>
        </w:rPr>
        <w:t>Trace and Track: Building End-to-End Operational Visibility</w:t>
      </w:r>
    </w:p>
    <w:p w14:paraId="586C305F">
      <w:pPr>
        <w:pStyle w:val="35"/>
        <w:numPr>
          <w:ilvl w:val="1"/>
          <w:numId w:val="4"/>
        </w:numPr>
        <w:jc w:val="both"/>
        <w:rPr>
          <w:rFonts w:hint="default" w:ascii="Adobe Arabic" w:hAnsi="Adobe Arabic" w:cs="Adobe Arabic"/>
          <w:b/>
          <w:bCs/>
          <w:sz w:val="22"/>
          <w:szCs w:val="22"/>
        </w:rPr>
      </w:pPr>
      <w:r>
        <w:rPr>
          <w:rFonts w:hint="default" w:ascii="Adobe Arabic" w:hAnsi="Adobe Arabic" w:cs="Adobe Arabic"/>
          <w:b/>
          <w:bCs/>
          <w:sz w:val="22"/>
          <w:szCs w:val="22"/>
        </w:rPr>
        <w:t>Asset Tracking</w:t>
      </w:r>
    </w:p>
    <w:p w14:paraId="49887FD5">
      <w:pPr>
        <w:ind w:left="360"/>
        <w:jc w:val="both"/>
        <w:rPr>
          <w:rFonts w:hint="default" w:ascii="Adobe Arabic" w:hAnsi="Adobe Arabic" w:cs="Adobe Arabic"/>
          <w:sz w:val="22"/>
          <w:szCs w:val="22"/>
        </w:rPr>
      </w:pPr>
      <w:r>
        <w:rPr>
          <w:rFonts w:hint="default" w:ascii="Adobe Arabic" w:hAnsi="Adobe Arabic" w:cs="Adobe Arabic"/>
          <w:sz w:val="22"/>
          <w:szCs w:val="22"/>
        </w:rPr>
        <w:t>Mining operations typically manage thousands of mobile and fixed assets including:</w:t>
      </w:r>
    </w:p>
    <w:p w14:paraId="149CE79F">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Haul trucks</w:t>
      </w:r>
    </w:p>
    <w:p w14:paraId="626E7F0C">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Excavators</w:t>
      </w:r>
    </w:p>
    <w:p w14:paraId="440CE9B8">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Loaders</w:t>
      </w:r>
    </w:p>
    <w:p w14:paraId="3E6F0312">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Wagons</w:t>
      </w:r>
    </w:p>
    <w:p w14:paraId="43D5B177">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Rail assets</w:t>
      </w:r>
    </w:p>
    <w:p w14:paraId="7805F998">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Containers</w:t>
      </w:r>
    </w:p>
    <w:p w14:paraId="1845347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Drilling equipment</w:t>
      </w:r>
    </w:p>
    <w:p w14:paraId="31FB1AB1">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High-value tools</w:t>
      </w:r>
    </w:p>
    <w:p w14:paraId="12EEB34E">
      <w:pPr>
        <w:ind w:left="360"/>
        <w:jc w:val="both"/>
        <w:rPr>
          <w:rFonts w:hint="default" w:ascii="Adobe Arabic" w:hAnsi="Adobe Arabic" w:cs="Adobe Arabic"/>
          <w:sz w:val="22"/>
          <w:szCs w:val="22"/>
        </w:rPr>
      </w:pPr>
      <w:r>
        <w:rPr>
          <w:rFonts w:hint="default" w:ascii="Adobe Arabic" w:hAnsi="Adobe Arabic" w:cs="Adobe Arabic"/>
          <w:sz w:val="22"/>
          <w:szCs w:val="22"/>
        </w:rPr>
        <w:t>IoT-enabled GPS and sensor technologies provide real-time tracking of these assets. Where available, vehicle telemetry, CAN-bus data, payload information, fuel consumption, operating hours, and equipment health indicators can be correlated with location data to create a richer asset-intelligence layer rather than simple location tracking.</w:t>
      </w:r>
    </w:p>
    <w:p w14:paraId="546CFE1B">
      <w:pPr>
        <w:ind w:left="360"/>
        <w:rPr>
          <w:rFonts w:hint="default" w:ascii="Adobe Arabic" w:hAnsi="Adobe Arabic" w:cs="Adobe Arabic"/>
          <w:b/>
          <w:bCs/>
          <w:sz w:val="22"/>
          <w:szCs w:val="22"/>
        </w:rPr>
      </w:pPr>
      <w:r>
        <w:rPr>
          <w:rFonts w:hint="default" w:ascii="Adobe Arabic" w:hAnsi="Adobe Arabic" w:cs="Adobe Arabic"/>
          <w:b/>
          <w:bCs/>
          <w:sz w:val="22"/>
          <w:szCs w:val="22"/>
        </w:rPr>
        <w:t>Benefits</w:t>
      </w:r>
    </w:p>
    <w:p w14:paraId="745D39F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Real-time location visibility</w:t>
      </w:r>
    </w:p>
    <w:p w14:paraId="37855847">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Reduced asset search time</w:t>
      </w:r>
    </w:p>
    <w:p w14:paraId="11986168">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Improved fleet utilization</w:t>
      </w:r>
    </w:p>
    <w:p w14:paraId="1DDD7C72">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Prevention of asset loss</w:t>
      </w:r>
    </w:p>
    <w:p w14:paraId="54FBD497">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Reduced idle time</w:t>
      </w:r>
    </w:p>
    <w:p w14:paraId="5C178104">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Better dispatch efficiency</w:t>
      </w:r>
    </w:p>
    <w:p w14:paraId="0CBD6055">
      <w:pPr>
        <w:ind w:left="360"/>
        <w:rPr>
          <w:rFonts w:hint="default" w:ascii="Adobe Arabic" w:hAnsi="Adobe Arabic" w:cs="Adobe Arabic"/>
          <w:b/>
          <w:bCs/>
          <w:sz w:val="22"/>
          <w:szCs w:val="22"/>
        </w:rPr>
      </w:pPr>
      <w:r>
        <w:rPr>
          <w:rFonts w:hint="default" w:ascii="Adobe Arabic" w:hAnsi="Adobe Arabic" w:cs="Adobe Arabic"/>
          <w:b/>
          <w:bCs/>
          <w:sz w:val="22"/>
          <w:szCs w:val="22"/>
        </w:rPr>
        <w:t>Business Impact</w:t>
      </w:r>
    </w:p>
    <w:p w14:paraId="5825433E">
      <w:pPr>
        <w:ind w:left="360"/>
        <w:jc w:val="both"/>
        <w:rPr>
          <w:rFonts w:hint="default" w:ascii="Adobe Arabic" w:hAnsi="Adobe Arabic" w:cs="Adobe Arabic"/>
          <w:sz w:val="22"/>
          <w:szCs w:val="22"/>
        </w:rPr>
      </w:pPr>
      <w:r>
        <w:rPr>
          <w:rFonts w:hint="default" w:ascii="Adobe Arabic" w:hAnsi="Adobe Arabic" w:cs="Adobe Arabic"/>
          <w:sz w:val="22"/>
          <w:szCs w:val="22"/>
        </w:rPr>
        <w:t>Mining companies can optimize fleet deployment and reduce unnecessary asset procurement by maximizing utilization of existing equipment.</w:t>
      </w:r>
    </w:p>
    <w:p w14:paraId="70367074">
      <w:pPr>
        <w:pStyle w:val="35"/>
        <w:numPr>
          <w:ilvl w:val="1"/>
          <w:numId w:val="4"/>
        </w:numPr>
        <w:jc w:val="both"/>
        <w:rPr>
          <w:rFonts w:hint="default" w:ascii="Adobe Arabic" w:hAnsi="Adobe Arabic" w:cs="Adobe Arabic"/>
          <w:b/>
          <w:bCs/>
          <w:sz w:val="22"/>
          <w:szCs w:val="22"/>
        </w:rPr>
      </w:pPr>
      <w:r>
        <w:rPr>
          <w:rFonts w:hint="default" w:ascii="Adobe Arabic" w:hAnsi="Adobe Arabic" w:cs="Adobe Arabic"/>
          <w:b/>
          <w:bCs/>
          <w:sz w:val="22"/>
          <w:szCs w:val="22"/>
        </w:rPr>
        <w:t>Material Traceability</w:t>
      </w:r>
    </w:p>
    <w:p w14:paraId="738511E4">
      <w:pPr>
        <w:ind w:left="360"/>
        <w:jc w:val="both"/>
        <w:rPr>
          <w:rFonts w:hint="default" w:ascii="Adobe Arabic" w:hAnsi="Adobe Arabic" w:cs="Adobe Arabic"/>
          <w:sz w:val="22"/>
          <w:szCs w:val="22"/>
        </w:rPr>
      </w:pPr>
      <w:r>
        <w:rPr>
          <w:rFonts w:hint="default" w:ascii="Adobe Arabic" w:hAnsi="Adobe Arabic" w:cs="Adobe Arabic"/>
          <w:sz w:val="22"/>
          <w:szCs w:val="22"/>
        </w:rPr>
        <w:t>IoT enables tracking of material movement from pit to plant and shipment.</w:t>
      </w:r>
    </w:p>
    <w:p w14:paraId="530C4C7E">
      <w:pPr>
        <w:ind w:left="360"/>
        <w:rPr>
          <w:rFonts w:hint="default" w:ascii="Adobe Arabic" w:hAnsi="Adobe Arabic" w:cs="Adobe Arabic"/>
          <w:sz w:val="22"/>
          <w:szCs w:val="22"/>
        </w:rPr>
      </w:pPr>
      <w:r>
        <w:rPr>
          <w:rFonts w:hint="default" w:ascii="Adobe Arabic" w:hAnsi="Adobe Arabic" w:cs="Adobe Arabic"/>
          <w:sz w:val="22"/>
          <w:szCs w:val="22"/>
        </w:rPr>
        <w:t>Organizations gain visibility into:</w:t>
      </w:r>
    </w:p>
    <w:p w14:paraId="19DF5092">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Ore extraction location</w:t>
      </w:r>
    </w:p>
    <w:p w14:paraId="2722BFDE">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Haul routes</w:t>
      </w:r>
    </w:p>
    <w:p w14:paraId="7B275E6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Stockpile movements</w:t>
      </w:r>
    </w:p>
    <w:p w14:paraId="305E269C">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Processing stages</w:t>
      </w:r>
    </w:p>
    <w:p w14:paraId="26FBEC57">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Shipment destinations</w:t>
      </w:r>
    </w:p>
    <w:p w14:paraId="7AEC1B73">
      <w:pPr>
        <w:ind w:left="360"/>
        <w:jc w:val="both"/>
        <w:rPr>
          <w:rFonts w:hint="default" w:ascii="Adobe Arabic" w:hAnsi="Adobe Arabic" w:cs="Adobe Arabic"/>
          <w:sz w:val="22"/>
          <w:szCs w:val="22"/>
        </w:rPr>
      </w:pPr>
      <w:r>
        <w:rPr>
          <w:rFonts w:hint="default" w:ascii="Adobe Arabic" w:hAnsi="Adobe Arabic" w:cs="Adobe Arabic"/>
          <w:sz w:val="22"/>
          <w:szCs w:val="22"/>
        </w:rPr>
        <w:t>Material identity, quality/grade, quantity, and custody events can also be associated with each movement to strengthen digital chain-of-custody and reconciliation.</w:t>
      </w:r>
    </w:p>
    <w:p w14:paraId="29A68BE4">
      <w:pPr>
        <w:ind w:left="360"/>
        <w:rPr>
          <w:rFonts w:hint="default" w:ascii="Adobe Arabic" w:hAnsi="Adobe Arabic" w:cs="Adobe Arabic"/>
          <w:b/>
          <w:bCs/>
          <w:sz w:val="22"/>
          <w:szCs w:val="22"/>
        </w:rPr>
      </w:pPr>
      <w:r>
        <w:rPr>
          <w:rFonts w:hint="default" w:ascii="Adobe Arabic" w:hAnsi="Adobe Arabic" w:cs="Adobe Arabic"/>
          <w:b/>
          <w:bCs/>
          <w:sz w:val="22"/>
          <w:szCs w:val="22"/>
        </w:rPr>
        <w:t>Benefits</w:t>
      </w:r>
    </w:p>
    <w:p w14:paraId="75516BD6">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Supply chain transparency</w:t>
      </w:r>
    </w:p>
    <w:p w14:paraId="4FA2F1E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Improved inventory control</w:t>
      </w:r>
    </w:p>
    <w:p w14:paraId="3927A3E8">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Chain-of-custody validation</w:t>
      </w:r>
    </w:p>
    <w:p w14:paraId="40C7C576">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Better production planning</w:t>
      </w:r>
    </w:p>
    <w:p w14:paraId="4AEF12F6">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Reduced material losses</w:t>
      </w:r>
    </w:p>
    <w:p w14:paraId="23D422D4">
      <w:pPr>
        <w:pStyle w:val="35"/>
        <w:numPr>
          <w:ilvl w:val="1"/>
          <w:numId w:val="4"/>
        </w:numPr>
        <w:jc w:val="both"/>
        <w:rPr>
          <w:rFonts w:hint="default" w:ascii="Adobe Arabic" w:hAnsi="Adobe Arabic" w:cs="Adobe Arabic"/>
          <w:b/>
          <w:bCs/>
          <w:sz w:val="22"/>
          <w:szCs w:val="22"/>
        </w:rPr>
      </w:pPr>
      <w:r>
        <w:rPr>
          <w:rFonts w:hint="default" w:ascii="Adobe Arabic" w:hAnsi="Adobe Arabic" w:cs="Adobe Arabic"/>
          <w:b/>
          <w:bCs/>
          <w:sz w:val="22"/>
          <w:szCs w:val="22"/>
        </w:rPr>
        <w:t>Personnel Tracking</w:t>
      </w:r>
    </w:p>
    <w:p w14:paraId="35746742">
      <w:pPr>
        <w:ind w:left="360"/>
        <w:jc w:val="both"/>
        <w:rPr>
          <w:rFonts w:hint="default" w:ascii="Adobe Arabic" w:hAnsi="Adobe Arabic" w:cs="Adobe Arabic"/>
          <w:sz w:val="22"/>
          <w:szCs w:val="22"/>
        </w:rPr>
      </w:pPr>
      <w:r>
        <w:rPr>
          <w:rFonts w:hint="default" w:ascii="Adobe Arabic" w:hAnsi="Adobe Arabic" w:cs="Adobe Arabic"/>
          <w:sz w:val="22"/>
          <w:szCs w:val="22"/>
        </w:rPr>
        <w:t>Worker tracking is becoming increasingly important in modern mines. IoT-enabled smart badges and wearable technologies can monitor:</w:t>
      </w:r>
    </w:p>
    <w:p w14:paraId="4DAA27FE">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Employee location</w:t>
      </w:r>
    </w:p>
    <w:p w14:paraId="13CD0D06">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Zone entry and exit</w:t>
      </w:r>
    </w:p>
    <w:p w14:paraId="3C79592D">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Muster management</w:t>
      </w:r>
    </w:p>
    <w:p w14:paraId="165EDD74">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Emergency evacuation status</w:t>
      </w:r>
    </w:p>
    <w:p w14:paraId="6C57A38D">
      <w:pPr>
        <w:ind w:left="360"/>
        <w:jc w:val="both"/>
        <w:rPr>
          <w:rFonts w:hint="default" w:ascii="Adobe Arabic" w:hAnsi="Adobe Arabic" w:cs="Adobe Arabic"/>
          <w:sz w:val="22"/>
          <w:szCs w:val="22"/>
        </w:rPr>
      </w:pPr>
      <w:r>
        <w:rPr>
          <w:rFonts w:hint="default" w:ascii="Adobe Arabic" w:hAnsi="Adobe Arabic" w:cs="Adobe Arabic"/>
          <w:sz w:val="22"/>
          <w:szCs w:val="22"/>
        </w:rPr>
        <w:t>In higher-risk operations, connected wearables, panic/SOS devices, man-down detection, and location-enabled body-worn cameras can extend personnel tracking into incident response and digital evidence capture.</w:t>
      </w:r>
    </w:p>
    <w:p w14:paraId="50627744">
      <w:pPr>
        <w:ind w:left="360"/>
        <w:rPr>
          <w:rFonts w:hint="default" w:ascii="Adobe Arabic" w:hAnsi="Adobe Arabic" w:cs="Adobe Arabic"/>
          <w:b/>
          <w:bCs/>
          <w:sz w:val="22"/>
          <w:szCs w:val="22"/>
        </w:rPr>
      </w:pPr>
      <w:r>
        <w:rPr>
          <w:rFonts w:hint="default" w:ascii="Adobe Arabic" w:hAnsi="Adobe Arabic" w:cs="Adobe Arabic"/>
          <w:b/>
          <w:bCs/>
          <w:sz w:val="22"/>
          <w:szCs w:val="22"/>
        </w:rPr>
        <w:t>Benefits</w:t>
      </w:r>
    </w:p>
    <w:p w14:paraId="6C865A8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Improved accountability</w:t>
      </w:r>
    </w:p>
    <w:p w14:paraId="794B92F4">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Faster emergency response</w:t>
      </w:r>
    </w:p>
    <w:p w14:paraId="6351978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Better workforce allocation</w:t>
      </w:r>
    </w:p>
    <w:p w14:paraId="4C2FA7E8">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Enhanced compliance management</w:t>
      </w:r>
    </w:p>
    <w:p w14:paraId="667DD1CE">
      <w:pPr>
        <w:rPr>
          <w:rFonts w:hint="default" w:ascii="Adobe Arabic" w:hAnsi="Adobe Arabic" w:cs="Adobe Arabic"/>
          <w:sz w:val="4"/>
          <w:szCs w:val="4"/>
        </w:rPr>
      </w:pPr>
    </w:p>
    <w:p w14:paraId="24EEA2CA">
      <w:pPr>
        <w:pStyle w:val="35"/>
        <w:numPr>
          <w:ilvl w:val="0"/>
          <w:numId w:val="3"/>
        </w:numPr>
        <w:rPr>
          <w:rFonts w:hint="default" w:ascii="Adobe Arabic" w:hAnsi="Adobe Arabic" w:cs="Adobe Arabic"/>
          <w:b/>
          <w:bCs/>
        </w:rPr>
      </w:pPr>
      <w:r>
        <w:rPr>
          <w:rFonts w:hint="default" w:ascii="Adobe Arabic" w:hAnsi="Adobe Arabic" w:cs="Adobe Arabic"/>
          <w:b/>
          <w:bCs/>
        </w:rPr>
        <w:t>Predictive and Preventive Maintenance</w:t>
      </w:r>
    </w:p>
    <w:p w14:paraId="71E7ED01">
      <w:pPr>
        <w:ind w:left="360"/>
        <w:rPr>
          <w:rFonts w:hint="default" w:ascii="Adobe Arabic" w:hAnsi="Adobe Arabic" w:cs="Adobe Arabic"/>
          <w:b/>
          <w:bCs/>
          <w:sz w:val="22"/>
          <w:szCs w:val="22"/>
        </w:rPr>
      </w:pPr>
      <w:r>
        <w:rPr>
          <w:rFonts w:hint="default" w:ascii="Adobe Arabic" w:hAnsi="Adobe Arabic" w:cs="Adobe Arabic"/>
          <w:b/>
          <w:bCs/>
          <w:sz w:val="22"/>
          <w:szCs w:val="22"/>
        </w:rPr>
        <w:t>The Challenge</w:t>
      </w:r>
    </w:p>
    <w:p w14:paraId="697C4675">
      <w:pPr>
        <w:ind w:left="360"/>
        <w:jc w:val="both"/>
        <w:rPr>
          <w:rFonts w:hint="default" w:ascii="Adobe Arabic" w:hAnsi="Adobe Arabic" w:cs="Adobe Arabic"/>
          <w:sz w:val="22"/>
          <w:szCs w:val="22"/>
        </w:rPr>
      </w:pPr>
      <w:r>
        <w:rPr>
          <w:rFonts w:hint="default" w:ascii="Adobe Arabic" w:hAnsi="Adobe Arabic" w:cs="Adobe Arabic"/>
          <w:sz w:val="22"/>
          <w:szCs w:val="22"/>
        </w:rPr>
        <w:t>Equipment downtime remains one of the largest contributors to production losses in mining.</w:t>
      </w:r>
    </w:p>
    <w:p w14:paraId="5FA7E386">
      <w:pPr>
        <w:ind w:left="360"/>
        <w:rPr>
          <w:rFonts w:hint="default" w:ascii="Adobe Arabic" w:hAnsi="Adobe Arabic" w:cs="Adobe Arabic"/>
          <w:sz w:val="22"/>
          <w:szCs w:val="22"/>
        </w:rPr>
      </w:pPr>
      <w:r>
        <w:rPr>
          <w:rFonts w:hint="default" w:ascii="Adobe Arabic" w:hAnsi="Adobe Arabic" w:cs="Adobe Arabic"/>
          <w:sz w:val="22"/>
          <w:szCs w:val="22"/>
        </w:rPr>
        <w:t>Critical assets include:</w:t>
      </w:r>
    </w:p>
    <w:p w14:paraId="46D07088">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Haul trucks</w:t>
      </w:r>
    </w:p>
    <w:p w14:paraId="4579FDFA">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Crushers</w:t>
      </w:r>
    </w:p>
    <w:p w14:paraId="74114139">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Conveyors</w:t>
      </w:r>
    </w:p>
    <w:p w14:paraId="55002D01">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Pumps</w:t>
      </w:r>
    </w:p>
    <w:p w14:paraId="02CB5E9A">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Draglines</w:t>
      </w:r>
    </w:p>
    <w:p w14:paraId="4EF8E840">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Rail assets</w:t>
      </w:r>
    </w:p>
    <w:p w14:paraId="3DF2C2D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Processing equipment</w:t>
      </w:r>
    </w:p>
    <w:p w14:paraId="25293F38">
      <w:pPr>
        <w:ind w:left="360"/>
        <w:rPr>
          <w:rFonts w:hint="default" w:ascii="Adobe Arabic" w:hAnsi="Adobe Arabic" w:cs="Adobe Arabic"/>
          <w:sz w:val="22"/>
          <w:szCs w:val="22"/>
        </w:rPr>
      </w:pPr>
      <w:r>
        <w:rPr>
          <w:rFonts w:hint="default" w:ascii="Adobe Arabic" w:hAnsi="Adobe Arabic" w:cs="Adobe Arabic"/>
          <w:sz w:val="22"/>
          <w:szCs w:val="22"/>
        </w:rPr>
        <w:t>Traditional maintenance approaches are often:</w:t>
      </w:r>
    </w:p>
    <w:p w14:paraId="3A6B1904">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Reactive (failure-based)</w:t>
      </w:r>
    </w:p>
    <w:p w14:paraId="39AB87D8">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Schedule-driven</w:t>
      </w:r>
    </w:p>
    <w:p w14:paraId="048737B3">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Manual inspection-intensive</w:t>
      </w:r>
    </w:p>
    <w:p w14:paraId="5270736A">
      <w:pPr>
        <w:ind w:left="360"/>
        <w:rPr>
          <w:rFonts w:hint="default" w:ascii="Adobe Arabic" w:hAnsi="Adobe Arabic" w:cs="Adobe Arabic"/>
          <w:sz w:val="22"/>
          <w:szCs w:val="22"/>
        </w:rPr>
      </w:pPr>
      <w:r>
        <w:rPr>
          <w:rFonts w:hint="default" w:ascii="Adobe Arabic" w:hAnsi="Adobe Arabic" w:cs="Adobe Arabic"/>
          <w:sz w:val="22"/>
          <w:szCs w:val="22"/>
        </w:rPr>
        <w:t>These approaches increase costs and operational risks.</w:t>
      </w:r>
    </w:p>
    <w:p w14:paraId="484FB4B7">
      <w:pPr>
        <w:pStyle w:val="35"/>
        <w:numPr>
          <w:ilvl w:val="1"/>
          <w:numId w:val="5"/>
        </w:numPr>
        <w:jc w:val="both"/>
        <w:rPr>
          <w:rFonts w:hint="default" w:ascii="Adobe Arabic" w:hAnsi="Adobe Arabic" w:cs="Adobe Arabic"/>
          <w:b/>
          <w:bCs/>
          <w:sz w:val="22"/>
          <w:szCs w:val="22"/>
        </w:rPr>
      </w:pPr>
      <w:r>
        <w:rPr>
          <w:rFonts w:hint="default" w:ascii="Adobe Arabic" w:hAnsi="Adobe Arabic" w:cs="Adobe Arabic"/>
          <w:b/>
          <w:bCs/>
          <w:sz w:val="22"/>
          <w:szCs w:val="22"/>
        </w:rPr>
        <w:t>IoT-Enabled Predictive Maintenance</w:t>
      </w:r>
    </w:p>
    <w:p w14:paraId="34D4A500">
      <w:pPr>
        <w:ind w:left="360"/>
        <w:rPr>
          <w:rFonts w:hint="default" w:ascii="Adobe Arabic" w:hAnsi="Adobe Arabic" w:cs="Adobe Arabic"/>
          <w:sz w:val="22"/>
          <w:szCs w:val="22"/>
        </w:rPr>
      </w:pPr>
      <w:r>
        <w:rPr>
          <w:rFonts w:hint="default" w:ascii="Adobe Arabic" w:hAnsi="Adobe Arabic" w:cs="Adobe Arabic"/>
          <w:sz w:val="22"/>
          <w:szCs w:val="22"/>
        </w:rPr>
        <w:t>IoT sensors continuously monitor equipment health through:</w:t>
      </w:r>
    </w:p>
    <w:p w14:paraId="5CCAC6A4">
      <w:pPr>
        <w:ind w:left="360"/>
        <w:rPr>
          <w:rFonts w:hint="default" w:ascii="Adobe Arabic" w:hAnsi="Adobe Arabic" w:cs="Adobe Arabic"/>
          <w:b/>
          <w:bCs/>
          <w:sz w:val="22"/>
          <w:szCs w:val="22"/>
        </w:rPr>
      </w:pPr>
      <w:r>
        <w:rPr>
          <w:rFonts w:hint="default" w:ascii="Adobe Arabic" w:hAnsi="Adobe Arabic" w:cs="Adobe Arabic"/>
          <w:b/>
          <w:bCs/>
          <w:sz w:val="22"/>
          <w:szCs w:val="22"/>
        </w:rPr>
        <w:t>Mechanical Parameters</w:t>
      </w:r>
    </w:p>
    <w:p w14:paraId="6A337304">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Vibration</w:t>
      </w:r>
    </w:p>
    <w:p w14:paraId="52D060CE">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Shock</w:t>
      </w:r>
    </w:p>
    <w:p w14:paraId="1F1E9E72">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Load stress</w:t>
      </w:r>
    </w:p>
    <w:p w14:paraId="74B14C8F">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Equipment utilization</w:t>
      </w:r>
    </w:p>
    <w:p w14:paraId="50D2FF49">
      <w:pPr>
        <w:ind w:left="360"/>
        <w:rPr>
          <w:rFonts w:hint="default" w:ascii="Adobe Arabic" w:hAnsi="Adobe Arabic" w:cs="Adobe Arabic"/>
          <w:b/>
          <w:bCs/>
          <w:sz w:val="22"/>
          <w:szCs w:val="22"/>
        </w:rPr>
      </w:pPr>
      <w:r>
        <w:rPr>
          <w:rFonts w:hint="default" w:ascii="Adobe Arabic" w:hAnsi="Adobe Arabic" w:cs="Adobe Arabic"/>
          <w:b/>
          <w:bCs/>
          <w:sz w:val="22"/>
          <w:szCs w:val="22"/>
        </w:rPr>
        <w:t>Thermal Parameters</w:t>
      </w:r>
    </w:p>
    <w:p w14:paraId="49987EBE">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Bearing temperature</w:t>
      </w:r>
    </w:p>
    <w:p w14:paraId="7A431616">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Engine temperature</w:t>
      </w:r>
    </w:p>
    <w:p w14:paraId="7AB34CBD">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Hydraulic temperature</w:t>
      </w:r>
    </w:p>
    <w:p w14:paraId="4B93ED83">
      <w:pPr>
        <w:ind w:left="360"/>
        <w:rPr>
          <w:rFonts w:hint="default" w:ascii="Adobe Arabic" w:hAnsi="Adobe Arabic" w:cs="Adobe Arabic"/>
          <w:b/>
          <w:bCs/>
          <w:sz w:val="22"/>
          <w:szCs w:val="22"/>
        </w:rPr>
      </w:pPr>
      <w:r>
        <w:rPr>
          <w:rFonts w:hint="default" w:ascii="Adobe Arabic" w:hAnsi="Adobe Arabic" w:cs="Adobe Arabic"/>
          <w:b/>
          <w:bCs/>
          <w:sz w:val="22"/>
          <w:szCs w:val="22"/>
        </w:rPr>
        <w:t>Performance Parameters</w:t>
      </w:r>
    </w:p>
    <w:p w14:paraId="050BA85D">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Fuel consumption</w:t>
      </w:r>
    </w:p>
    <w:p w14:paraId="2B46AF3C">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Pressure levels</w:t>
      </w:r>
    </w:p>
    <w:p w14:paraId="51BD5428">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Cycle times</w:t>
      </w:r>
    </w:p>
    <w:p w14:paraId="675267AF">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Runtime hours</w:t>
      </w:r>
    </w:p>
    <w:p w14:paraId="5F6086A7">
      <w:pPr>
        <w:ind w:left="360"/>
        <w:rPr>
          <w:rFonts w:hint="default" w:ascii="Adobe Arabic" w:hAnsi="Adobe Arabic" w:cs="Adobe Arabic"/>
          <w:b/>
          <w:bCs/>
          <w:sz w:val="22"/>
          <w:szCs w:val="22"/>
        </w:rPr>
      </w:pPr>
      <w:r>
        <w:rPr>
          <w:rFonts w:hint="default" w:ascii="Adobe Arabic" w:hAnsi="Adobe Arabic" w:cs="Adobe Arabic"/>
          <w:b/>
          <w:bCs/>
          <w:sz w:val="22"/>
          <w:szCs w:val="22"/>
        </w:rPr>
        <w:t>Condition Parameters</w:t>
      </w:r>
    </w:p>
    <w:p w14:paraId="151AABF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Lubrication quality</w:t>
      </w:r>
    </w:p>
    <w:p w14:paraId="3B439013">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Wear indicators</w:t>
      </w:r>
    </w:p>
    <w:p w14:paraId="1C54B3D4">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Structural integrity</w:t>
      </w:r>
    </w:p>
    <w:tbl>
      <w:tblPr>
        <w:tblStyle w:val="49"/>
        <w:tblW w:w="5000" w:type="pct"/>
        <w:tblInd w:w="0" w:type="dxa"/>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Layout w:type="autofit"/>
        <w:tblCellMar>
          <w:top w:w="0" w:type="dxa"/>
          <w:left w:w="108" w:type="dxa"/>
          <w:bottom w:w="0" w:type="dxa"/>
          <w:right w:w="108" w:type="dxa"/>
        </w:tblCellMar>
      </w:tblPr>
      <w:tblGrid>
        <w:gridCol w:w="2154"/>
        <w:gridCol w:w="7088"/>
      </w:tblGrid>
      <w:tr w14:paraId="5E754858">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c>
          <w:tcPr>
            <w:tcW w:w="0" w:type="auto"/>
            <w:tcBorders>
              <w:top w:val="single" w:color="156082" w:themeColor="accent1" w:sz="4" w:space="0"/>
              <w:left w:val="single" w:color="156082" w:themeColor="accent1" w:sz="4" w:space="0"/>
              <w:bottom w:val="single" w:color="156082" w:themeColor="accent1" w:sz="4" w:space="0"/>
              <w:right w:val="nil"/>
              <w:insideH w:val="single" w:sz="4" w:space="0"/>
              <w:insideV w:val="nil"/>
            </w:tcBorders>
            <w:shd w:val="clear" w:color="auto" w:fill="0F9ED5"/>
          </w:tcPr>
          <w:p w14:paraId="03FA00EF">
            <w:pPr>
              <w:spacing w:after="160" w:line="240" w:lineRule="auto"/>
              <w:rPr>
                <w:rFonts w:hint="default" w:ascii="Adobe Arabic" w:hAnsi="Adobe Arabic" w:cs="Adobe Arabic"/>
                <w:b/>
                <w:bCs/>
                <w:color w:val="FFFFFF"/>
                <w:lang w:eastAsia="en-IN"/>
              </w:rPr>
            </w:pPr>
            <w:r>
              <w:rPr>
                <w:rFonts w:hint="default" w:ascii="Adobe Arabic" w:hAnsi="Adobe Arabic" w:cs="Adobe Arabic"/>
                <w:b/>
                <w:bCs/>
                <w:color w:val="FFFFFF"/>
              </w:rPr>
              <w:t>Parameter group</w:t>
            </w:r>
          </w:p>
        </w:tc>
        <w:tc>
          <w:tcPr>
            <w:tcW w:w="0" w:type="auto"/>
            <w:tcBorders>
              <w:top w:val="single" w:color="156082" w:themeColor="accent1" w:sz="4" w:space="0"/>
              <w:bottom w:val="single" w:color="156082" w:themeColor="accent1" w:sz="4" w:space="0"/>
              <w:right w:val="single" w:color="156082" w:themeColor="accent1" w:sz="4" w:space="0"/>
              <w:insideH w:val="single" w:sz="4" w:space="0"/>
              <w:insideV w:val="nil"/>
            </w:tcBorders>
            <w:shd w:val="clear" w:color="auto" w:fill="0F9ED5"/>
          </w:tcPr>
          <w:p w14:paraId="290275FE">
            <w:pPr>
              <w:spacing w:after="160" w:line="240" w:lineRule="auto"/>
              <w:rPr>
                <w:rFonts w:hint="default" w:ascii="Adobe Arabic" w:hAnsi="Adobe Arabic" w:cs="Adobe Arabic"/>
                <w:b/>
                <w:bCs/>
                <w:color w:val="FFFFFF"/>
              </w:rPr>
            </w:pPr>
            <w:r>
              <w:rPr>
                <w:rFonts w:hint="default" w:ascii="Adobe Arabic" w:hAnsi="Adobe Arabic" w:cs="Adobe Arabic"/>
                <w:b/>
                <w:bCs/>
                <w:color w:val="FFFFFF"/>
              </w:rPr>
              <w:t>Signals monitored</w:t>
            </w:r>
          </w:p>
        </w:tc>
      </w:tr>
      <w:tr w14:paraId="14BC9D16">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c>
          <w:tcPr>
            <w:tcW w:w="0" w:type="auto"/>
            <w:shd w:val="clear" w:color="auto" w:fill="C1E4F5" w:themeFill="accent1" w:themeFillTint="33"/>
          </w:tcPr>
          <w:p w14:paraId="54654537">
            <w:pPr>
              <w:spacing w:after="160" w:line="240" w:lineRule="auto"/>
              <w:rPr>
                <w:rFonts w:hint="default" w:ascii="Adobe Arabic" w:hAnsi="Adobe Arabic" w:cs="Adobe Arabic"/>
                <w:b/>
                <w:bCs/>
              </w:rPr>
            </w:pPr>
            <w:r>
              <w:rPr>
                <w:rFonts w:hint="default" w:ascii="Adobe Arabic" w:hAnsi="Adobe Arabic" w:cs="Adobe Arabic"/>
                <w:b/>
                <w:bCs/>
              </w:rPr>
              <w:t>Mechanical</w:t>
            </w:r>
          </w:p>
        </w:tc>
        <w:tc>
          <w:tcPr>
            <w:tcW w:w="0" w:type="auto"/>
            <w:shd w:val="clear" w:color="auto" w:fill="C1E4F5" w:themeFill="accent1" w:themeFillTint="33"/>
          </w:tcPr>
          <w:p w14:paraId="4C1D2260">
            <w:pPr>
              <w:spacing w:after="160" w:line="240" w:lineRule="auto"/>
              <w:rPr>
                <w:rFonts w:hint="default" w:ascii="Adobe Arabic" w:hAnsi="Adobe Arabic" w:cs="Adobe Arabic"/>
              </w:rPr>
            </w:pPr>
            <w:r>
              <w:rPr>
                <w:rFonts w:hint="default" w:ascii="Adobe Arabic" w:hAnsi="Adobe Arabic" w:cs="Adobe Arabic"/>
              </w:rPr>
              <w:t>Vibration, shock, load stress, equipment utilization</w:t>
            </w:r>
          </w:p>
        </w:tc>
      </w:tr>
      <w:tr w14:paraId="78C6C668">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c>
          <w:tcPr>
            <w:tcW w:w="0" w:type="auto"/>
          </w:tcPr>
          <w:p w14:paraId="22E31129">
            <w:pPr>
              <w:spacing w:after="160" w:line="240" w:lineRule="auto"/>
              <w:rPr>
                <w:rFonts w:hint="default" w:ascii="Adobe Arabic" w:hAnsi="Adobe Arabic" w:cs="Adobe Arabic"/>
                <w:b/>
                <w:bCs/>
              </w:rPr>
            </w:pPr>
            <w:r>
              <w:rPr>
                <w:rFonts w:hint="default" w:ascii="Adobe Arabic" w:hAnsi="Adobe Arabic" w:cs="Adobe Arabic"/>
                <w:b/>
                <w:bCs/>
              </w:rPr>
              <w:t>Thermal</w:t>
            </w:r>
          </w:p>
        </w:tc>
        <w:tc>
          <w:tcPr>
            <w:tcW w:w="0" w:type="auto"/>
          </w:tcPr>
          <w:p w14:paraId="7C162643">
            <w:pPr>
              <w:spacing w:after="160" w:line="240" w:lineRule="auto"/>
              <w:rPr>
                <w:rFonts w:hint="default" w:ascii="Adobe Arabic" w:hAnsi="Adobe Arabic" w:cs="Adobe Arabic"/>
              </w:rPr>
            </w:pPr>
            <w:r>
              <w:rPr>
                <w:rFonts w:hint="default" w:ascii="Adobe Arabic" w:hAnsi="Adobe Arabic" w:cs="Adobe Arabic"/>
              </w:rPr>
              <w:t>Bearing temperature, engine temperature, hydraulic temperature</w:t>
            </w:r>
          </w:p>
        </w:tc>
      </w:tr>
      <w:tr w14:paraId="59F28715">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c>
          <w:tcPr>
            <w:tcW w:w="0" w:type="auto"/>
            <w:shd w:val="clear" w:color="auto" w:fill="C1E4F5" w:themeFill="accent1" w:themeFillTint="33"/>
          </w:tcPr>
          <w:p w14:paraId="7CB67D89">
            <w:pPr>
              <w:spacing w:after="160" w:line="240" w:lineRule="auto"/>
              <w:rPr>
                <w:rFonts w:hint="default" w:ascii="Adobe Arabic" w:hAnsi="Adobe Arabic" w:cs="Adobe Arabic"/>
                <w:b/>
                <w:bCs/>
              </w:rPr>
            </w:pPr>
            <w:r>
              <w:rPr>
                <w:rFonts w:hint="default" w:ascii="Adobe Arabic" w:hAnsi="Adobe Arabic" w:cs="Adobe Arabic"/>
                <w:b/>
                <w:bCs/>
              </w:rPr>
              <w:t>Performance</w:t>
            </w:r>
          </w:p>
        </w:tc>
        <w:tc>
          <w:tcPr>
            <w:tcW w:w="0" w:type="auto"/>
            <w:shd w:val="clear" w:color="auto" w:fill="C1E4F5" w:themeFill="accent1" w:themeFillTint="33"/>
          </w:tcPr>
          <w:p w14:paraId="7FFAF769">
            <w:pPr>
              <w:spacing w:after="160" w:line="240" w:lineRule="auto"/>
              <w:rPr>
                <w:rFonts w:hint="default" w:ascii="Adobe Arabic" w:hAnsi="Adobe Arabic" w:cs="Adobe Arabic"/>
              </w:rPr>
            </w:pPr>
            <w:r>
              <w:rPr>
                <w:rFonts w:hint="default" w:ascii="Adobe Arabic" w:hAnsi="Adobe Arabic" w:cs="Adobe Arabic"/>
              </w:rPr>
              <w:t>Fuel consumption, pressure levels, cycle times, runtime hours</w:t>
            </w:r>
          </w:p>
        </w:tc>
      </w:tr>
      <w:tr w14:paraId="32624CD0">
        <w:tblPrEx>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CellMar>
            <w:top w:w="0" w:type="dxa"/>
            <w:left w:w="108" w:type="dxa"/>
            <w:bottom w:w="0" w:type="dxa"/>
            <w:right w:w="108" w:type="dxa"/>
          </w:tblCellMar>
        </w:tblPrEx>
        <w:tc>
          <w:tcPr>
            <w:tcW w:w="0" w:type="auto"/>
          </w:tcPr>
          <w:p w14:paraId="483507EC">
            <w:pPr>
              <w:spacing w:after="160" w:line="240" w:lineRule="auto"/>
              <w:rPr>
                <w:rFonts w:hint="default" w:ascii="Adobe Arabic" w:hAnsi="Adobe Arabic" w:cs="Adobe Arabic"/>
                <w:b/>
                <w:bCs/>
              </w:rPr>
            </w:pPr>
            <w:r>
              <w:rPr>
                <w:rFonts w:hint="default" w:ascii="Adobe Arabic" w:hAnsi="Adobe Arabic" w:cs="Adobe Arabic"/>
                <w:b/>
                <w:bCs/>
              </w:rPr>
              <w:t>Condition</w:t>
            </w:r>
          </w:p>
        </w:tc>
        <w:tc>
          <w:tcPr>
            <w:tcW w:w="0" w:type="auto"/>
          </w:tcPr>
          <w:p w14:paraId="357DB3AA">
            <w:pPr>
              <w:spacing w:after="160" w:line="240" w:lineRule="auto"/>
              <w:rPr>
                <w:rFonts w:hint="default" w:ascii="Adobe Arabic" w:hAnsi="Adobe Arabic" w:cs="Adobe Arabic"/>
              </w:rPr>
            </w:pPr>
            <w:r>
              <w:rPr>
                <w:rFonts w:hint="default" w:ascii="Adobe Arabic" w:hAnsi="Adobe Arabic" w:cs="Adobe Arabic"/>
              </w:rPr>
              <w:t>Lubrication quality, wear indicators, structural integrity</w:t>
            </w:r>
          </w:p>
        </w:tc>
      </w:tr>
    </w:tbl>
    <w:p w14:paraId="0558C94F">
      <w:pPr>
        <w:rPr>
          <w:rFonts w:hint="default" w:ascii="Adobe Arabic" w:hAnsi="Adobe Arabic" w:cs="Adobe Arabic"/>
          <w:lang w:eastAsia="en-IN"/>
        </w:rPr>
      </w:pPr>
    </w:p>
    <w:p w14:paraId="788394D8">
      <w:pPr>
        <w:ind w:left="360"/>
        <w:rPr>
          <w:rFonts w:hint="default" w:ascii="Adobe Arabic" w:hAnsi="Adobe Arabic" w:cs="Adobe Arabic"/>
          <w:b/>
          <w:bCs/>
          <w:sz w:val="22"/>
          <w:szCs w:val="22"/>
        </w:rPr>
      </w:pPr>
      <w:r>
        <w:rPr>
          <w:rFonts w:hint="default" w:ascii="Adobe Arabic" w:hAnsi="Adobe Arabic" w:cs="Adobe Arabic"/>
          <w:b/>
          <w:bCs/>
          <w:sz w:val="22"/>
          <w:szCs w:val="22"/>
        </w:rPr>
        <w:t>Predictive Analytics</w:t>
      </w:r>
    </w:p>
    <w:p w14:paraId="6AF21196">
      <w:pPr>
        <w:ind w:left="360"/>
        <w:rPr>
          <w:rFonts w:hint="default" w:ascii="Adobe Arabic" w:hAnsi="Adobe Arabic" w:cs="Adobe Arabic"/>
          <w:sz w:val="22"/>
          <w:szCs w:val="22"/>
        </w:rPr>
      </w:pPr>
      <w:r>
        <w:rPr>
          <w:rFonts w:hint="default" w:ascii="Adobe Arabic" w:hAnsi="Adobe Arabic" w:cs="Adobe Arabic"/>
          <w:sz w:val="22"/>
          <w:szCs w:val="22"/>
        </w:rPr>
        <w:t>AI and machine learning algorithms analyse sensor data to identify:</w:t>
      </w:r>
    </w:p>
    <w:p w14:paraId="63998FB7">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Developing faults</w:t>
      </w:r>
    </w:p>
    <w:p w14:paraId="152B52CC">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Failure patterns</w:t>
      </w:r>
    </w:p>
    <w:p w14:paraId="3A14247E">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Equipment degradation</w:t>
      </w:r>
    </w:p>
    <w:p w14:paraId="31C8BB1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Abnormal operating conditions</w:t>
      </w:r>
    </w:p>
    <w:p w14:paraId="7CBDEF24">
      <w:pPr>
        <w:ind w:left="360"/>
        <w:jc w:val="both"/>
        <w:rPr>
          <w:rFonts w:hint="default" w:ascii="Adobe Arabic" w:hAnsi="Adobe Arabic" w:cs="Adobe Arabic"/>
          <w:sz w:val="22"/>
          <w:szCs w:val="22"/>
        </w:rPr>
      </w:pPr>
      <w:r>
        <w:rPr>
          <w:rFonts w:hint="default" w:ascii="Adobe Arabic" w:hAnsi="Adobe Arabic" w:cs="Adobe Arabic"/>
          <w:sz w:val="22"/>
          <w:szCs w:val="22"/>
        </w:rPr>
        <w:t>Maintenance teams receive alerts before equipment failures occur.</w:t>
      </w:r>
    </w:p>
    <w:p w14:paraId="4522F523">
      <w:pPr>
        <w:ind w:left="360"/>
        <w:jc w:val="both"/>
        <w:rPr>
          <w:rFonts w:hint="default" w:ascii="Adobe Arabic" w:hAnsi="Adobe Arabic" w:cs="Adobe Arabic"/>
          <w:sz w:val="22"/>
          <w:szCs w:val="22"/>
        </w:rPr>
      </w:pPr>
      <w:r>
        <w:rPr>
          <w:rFonts w:hint="default" w:ascii="Adobe Arabic" w:hAnsi="Adobe Arabic" w:cs="Adobe Arabic"/>
          <w:sz w:val="22"/>
          <w:szCs w:val="22"/>
        </w:rPr>
        <w:t>For critical assets, analytics can be deployed at the edge for low-latency detection, with confirmed events and historical data synchronized to the central platform. Predictive alerts should feed maintenance workflows in EAM/CMMS systems so that condition-based insights translate into work orders, parts planning, and maintenance scheduling.</w:t>
      </w:r>
    </w:p>
    <w:p w14:paraId="1D8C221B">
      <w:pPr>
        <w:ind w:left="360"/>
        <w:rPr>
          <w:rFonts w:hint="default" w:ascii="Adobe Arabic" w:hAnsi="Adobe Arabic" w:cs="Adobe Arabic"/>
          <w:sz w:val="22"/>
          <w:szCs w:val="22"/>
        </w:rPr>
      </w:pPr>
      <w:r>
        <w:rPr>
          <w:rFonts w:hint="default" w:ascii="Adobe Arabic" w:hAnsi="Adobe Arabic" w:cs="Adobe Arabic"/>
          <w:sz w:val="22"/>
          <w:szCs w:val="22"/>
        </w:rPr>
        <w:t>Examples include:</w:t>
      </w:r>
    </w:p>
    <w:p w14:paraId="70C68488">
      <w:pPr>
        <w:pStyle w:val="35"/>
        <w:numPr>
          <w:ilvl w:val="0"/>
          <w:numId w:val="2"/>
        </w:numPr>
        <w:ind w:left="720"/>
        <w:rPr>
          <w:rFonts w:hint="default" w:ascii="Adobe Arabic" w:hAnsi="Adobe Arabic" w:cs="Adobe Arabic"/>
        </w:rPr>
      </w:pPr>
      <w:r>
        <w:rPr>
          <w:rFonts w:hint="default" w:ascii="Adobe Arabic" w:hAnsi="Adobe Arabic" w:cs="Adobe Arabic"/>
          <w:sz w:val="22"/>
          <w:szCs w:val="22"/>
        </w:rPr>
        <w:t>Bearing failure prediction, Hydraulic system degradation, Conveyor belt wear, Engine performance deterioration</w:t>
      </w:r>
    </w:p>
    <w:p w14:paraId="0055865C">
      <w:pPr>
        <w:ind w:left="360"/>
        <w:rPr>
          <w:rFonts w:hint="default" w:ascii="Adobe Arabic" w:hAnsi="Adobe Arabic" w:cs="Adobe Arabic"/>
          <w:b/>
          <w:bCs/>
          <w:sz w:val="22"/>
          <w:szCs w:val="22"/>
        </w:rPr>
      </w:pPr>
      <w:r>
        <w:rPr>
          <w:rFonts w:hint="default" w:ascii="Adobe Arabic" w:hAnsi="Adobe Arabic" w:cs="Adobe Arabic"/>
          <w:b/>
          <w:bCs/>
          <w:sz w:val="22"/>
          <w:szCs w:val="22"/>
        </w:rPr>
        <w:t>Business Benefits</w:t>
      </w:r>
    </w:p>
    <w:p w14:paraId="6C10226E">
      <w:pPr>
        <w:pStyle w:val="35"/>
        <w:numPr>
          <w:ilvl w:val="0"/>
          <w:numId w:val="6"/>
        </w:numPr>
        <w:ind w:left="720"/>
        <w:rPr>
          <w:rFonts w:hint="default" w:ascii="Adobe Arabic" w:hAnsi="Adobe Arabic" w:cs="Adobe Arabic"/>
          <w:b/>
          <w:bCs/>
          <w:sz w:val="22"/>
          <w:szCs w:val="22"/>
        </w:rPr>
      </w:pPr>
      <w:r>
        <w:rPr>
          <w:rFonts w:hint="default" w:ascii="Adobe Arabic" w:hAnsi="Adobe Arabic" w:cs="Adobe Arabic"/>
          <w:b/>
          <w:bCs/>
          <w:sz w:val="22"/>
          <w:szCs w:val="22"/>
        </w:rPr>
        <w:t>Reduced Downtime</w:t>
      </w:r>
    </w:p>
    <w:p w14:paraId="4205B9D8">
      <w:pPr>
        <w:pStyle w:val="35"/>
        <w:numPr>
          <w:ilvl w:val="0"/>
          <w:numId w:val="7"/>
        </w:numPr>
        <w:ind w:left="1080"/>
        <w:rPr>
          <w:rFonts w:hint="default" w:ascii="Adobe Arabic" w:hAnsi="Adobe Arabic" w:cs="Adobe Arabic"/>
          <w:sz w:val="22"/>
          <w:szCs w:val="22"/>
        </w:rPr>
      </w:pPr>
      <w:r>
        <w:rPr>
          <w:rFonts w:hint="default" w:ascii="Adobe Arabic" w:hAnsi="Adobe Arabic" w:cs="Adobe Arabic"/>
          <w:sz w:val="22"/>
          <w:szCs w:val="22"/>
        </w:rPr>
        <w:t>Failures are detected before breakdowns occur.</w:t>
      </w:r>
    </w:p>
    <w:p w14:paraId="70B75A46">
      <w:pPr>
        <w:pStyle w:val="35"/>
        <w:numPr>
          <w:ilvl w:val="0"/>
          <w:numId w:val="6"/>
        </w:numPr>
        <w:ind w:left="720"/>
        <w:rPr>
          <w:rFonts w:hint="default" w:ascii="Adobe Arabic" w:hAnsi="Adobe Arabic" w:cs="Adobe Arabic"/>
          <w:b/>
          <w:bCs/>
          <w:sz w:val="22"/>
          <w:szCs w:val="22"/>
        </w:rPr>
      </w:pPr>
      <w:r>
        <w:rPr>
          <w:rFonts w:hint="default" w:ascii="Adobe Arabic" w:hAnsi="Adobe Arabic" w:cs="Adobe Arabic"/>
          <w:b/>
          <w:bCs/>
          <w:sz w:val="22"/>
          <w:szCs w:val="22"/>
        </w:rPr>
        <w:t>Lower Maintenance Cost</w:t>
      </w:r>
    </w:p>
    <w:p w14:paraId="450F2238">
      <w:pPr>
        <w:pStyle w:val="35"/>
        <w:numPr>
          <w:ilvl w:val="0"/>
          <w:numId w:val="7"/>
        </w:numPr>
        <w:ind w:left="1080"/>
        <w:rPr>
          <w:rFonts w:hint="default" w:ascii="Adobe Arabic" w:hAnsi="Adobe Arabic" w:cs="Adobe Arabic"/>
          <w:sz w:val="22"/>
          <w:szCs w:val="22"/>
        </w:rPr>
      </w:pPr>
      <w:r>
        <w:rPr>
          <w:rFonts w:hint="default" w:ascii="Adobe Arabic" w:hAnsi="Adobe Arabic" w:cs="Adobe Arabic"/>
          <w:sz w:val="22"/>
          <w:szCs w:val="22"/>
        </w:rPr>
        <w:t>Repairs are planned instead of performed under emergency conditions.</w:t>
      </w:r>
    </w:p>
    <w:p w14:paraId="70A0A2AC">
      <w:pPr>
        <w:pStyle w:val="35"/>
        <w:numPr>
          <w:ilvl w:val="0"/>
          <w:numId w:val="6"/>
        </w:numPr>
        <w:ind w:left="720"/>
        <w:rPr>
          <w:rFonts w:hint="default" w:ascii="Adobe Arabic" w:hAnsi="Adobe Arabic" w:cs="Adobe Arabic"/>
          <w:b/>
          <w:bCs/>
          <w:sz w:val="22"/>
          <w:szCs w:val="22"/>
        </w:rPr>
      </w:pPr>
      <w:r>
        <w:rPr>
          <w:rFonts w:hint="default" w:ascii="Adobe Arabic" w:hAnsi="Adobe Arabic" w:cs="Adobe Arabic"/>
          <w:b/>
          <w:bCs/>
          <w:sz w:val="22"/>
          <w:szCs w:val="22"/>
        </w:rPr>
        <w:t>Increased Equipment Availability</w:t>
      </w:r>
    </w:p>
    <w:p w14:paraId="5D8D82A4">
      <w:pPr>
        <w:pStyle w:val="35"/>
        <w:numPr>
          <w:ilvl w:val="0"/>
          <w:numId w:val="8"/>
        </w:numPr>
        <w:ind w:left="1080"/>
        <w:rPr>
          <w:rFonts w:hint="default" w:ascii="Adobe Arabic" w:hAnsi="Adobe Arabic" w:cs="Adobe Arabic"/>
          <w:sz w:val="22"/>
          <w:szCs w:val="22"/>
        </w:rPr>
      </w:pPr>
      <w:r>
        <w:rPr>
          <w:rFonts w:hint="default" w:ascii="Adobe Arabic" w:hAnsi="Adobe Arabic" w:cs="Adobe Arabic"/>
          <w:sz w:val="22"/>
          <w:szCs w:val="22"/>
        </w:rPr>
        <w:t>Assets spend more time producing and less time undergoing repairs.</w:t>
      </w:r>
    </w:p>
    <w:p w14:paraId="18D9A59F">
      <w:pPr>
        <w:pStyle w:val="35"/>
        <w:numPr>
          <w:ilvl w:val="0"/>
          <w:numId w:val="2"/>
        </w:numPr>
        <w:ind w:left="720"/>
        <w:jc w:val="both"/>
        <w:rPr>
          <w:rFonts w:hint="default" w:ascii="Adobe Arabic" w:hAnsi="Adobe Arabic" w:cs="Adobe Arabic"/>
          <w:b/>
          <w:bCs/>
          <w:sz w:val="22"/>
          <w:szCs w:val="22"/>
        </w:rPr>
      </w:pPr>
      <w:r>
        <w:rPr>
          <w:rFonts w:hint="default" w:ascii="Adobe Arabic" w:hAnsi="Adobe Arabic" w:cs="Adobe Arabic"/>
          <w:b/>
          <w:bCs/>
          <w:sz w:val="22"/>
          <w:szCs w:val="22"/>
        </w:rPr>
        <w:t>Improved Asset Life</w:t>
      </w:r>
    </w:p>
    <w:p w14:paraId="6B9A8207">
      <w:pPr>
        <w:pStyle w:val="35"/>
        <w:numPr>
          <w:ilvl w:val="0"/>
          <w:numId w:val="9"/>
        </w:numPr>
        <w:ind w:left="1080"/>
        <w:jc w:val="both"/>
        <w:rPr>
          <w:rFonts w:hint="default" w:ascii="Adobe Arabic" w:hAnsi="Adobe Arabic" w:cs="Adobe Arabic"/>
          <w:b/>
          <w:bCs/>
          <w:sz w:val="22"/>
          <w:szCs w:val="22"/>
        </w:rPr>
      </w:pPr>
      <w:r>
        <w:rPr>
          <w:rFonts w:hint="default" w:ascii="Adobe Arabic" w:hAnsi="Adobe Arabic" w:cs="Adobe Arabic"/>
          <w:b/>
          <w:sz w:val="22"/>
          <w:szCs w:val="22"/>
        </w:rPr>
        <w:t>Improved Maintenance Planning</w:t>
      </w:r>
    </w:p>
    <w:p w14:paraId="70B388A5">
      <w:pPr>
        <w:pStyle w:val="35"/>
        <w:numPr>
          <w:ilvl w:val="1"/>
          <w:numId w:val="9"/>
        </w:numPr>
        <w:ind w:left="1800"/>
        <w:jc w:val="both"/>
        <w:rPr>
          <w:rFonts w:hint="default" w:ascii="Adobe Arabic" w:hAnsi="Adobe Arabic" w:cs="Adobe Arabic"/>
          <w:sz w:val="22"/>
          <w:szCs w:val="22"/>
        </w:rPr>
      </w:pPr>
      <w:r>
        <w:rPr>
          <w:rFonts w:hint="default" w:ascii="Adobe Arabic" w:hAnsi="Adobe Arabic" w:cs="Adobe Arabic"/>
          <w:sz w:val="22"/>
          <w:szCs w:val="22"/>
        </w:rPr>
        <w:t>Maintenance actions are based on actual condition rather than fixed schedules.</w:t>
      </w:r>
    </w:p>
    <w:p w14:paraId="217B2FF8">
      <w:pPr>
        <w:pStyle w:val="35"/>
        <w:numPr>
          <w:ilvl w:val="1"/>
          <w:numId w:val="9"/>
        </w:numPr>
        <w:ind w:left="1800"/>
        <w:jc w:val="both"/>
        <w:rPr>
          <w:rFonts w:hint="default" w:ascii="Adobe Arabic" w:hAnsi="Adobe Arabic" w:cs="Adobe Arabic"/>
          <w:sz w:val="22"/>
          <w:szCs w:val="22"/>
        </w:rPr>
      </w:pPr>
      <w:r>
        <w:rPr>
          <w:rFonts w:hint="default" w:ascii="Adobe Arabic" w:hAnsi="Adobe Arabic" w:cs="Adobe Arabic"/>
          <w:sz w:val="22"/>
          <w:szCs w:val="22"/>
        </w:rPr>
        <w:t>Condition-based insights help maintenance teams prioritize critical interventions, coordinate spares and manpower, and reduce avoidable preventive work.</w:t>
      </w:r>
    </w:p>
    <w:p w14:paraId="0F4293E7">
      <w:pPr>
        <w:pStyle w:val="35"/>
        <w:numPr>
          <w:ilvl w:val="0"/>
          <w:numId w:val="3"/>
        </w:numPr>
        <w:rPr>
          <w:rFonts w:hint="default" w:ascii="Adobe Arabic" w:hAnsi="Adobe Arabic" w:cs="Adobe Arabic"/>
          <w:b/>
          <w:bCs/>
        </w:rPr>
      </w:pPr>
      <w:r>
        <w:rPr>
          <w:rFonts w:hint="default" w:ascii="Adobe Arabic" w:hAnsi="Adobe Arabic" w:cs="Adobe Arabic"/>
          <w:b/>
          <w:bCs/>
        </w:rPr>
        <w:t>Safety and Risk Management</w:t>
      </w:r>
    </w:p>
    <w:p w14:paraId="0830B912">
      <w:pPr>
        <w:pStyle w:val="35"/>
        <w:numPr>
          <w:ilvl w:val="1"/>
          <w:numId w:val="10"/>
        </w:numPr>
        <w:jc w:val="both"/>
        <w:rPr>
          <w:rFonts w:hint="default" w:ascii="Adobe Arabic" w:hAnsi="Adobe Arabic" w:cs="Adobe Arabic"/>
          <w:b/>
          <w:bCs/>
          <w:sz w:val="22"/>
          <w:szCs w:val="22"/>
        </w:rPr>
      </w:pPr>
      <w:r>
        <w:rPr>
          <w:rFonts w:hint="default" w:ascii="Adobe Arabic" w:hAnsi="Adobe Arabic" w:cs="Adobe Arabic"/>
          <w:b/>
          <w:bCs/>
          <w:sz w:val="22"/>
          <w:szCs w:val="22"/>
        </w:rPr>
        <w:t>Mining Safety Challenges</w:t>
      </w:r>
    </w:p>
    <w:p w14:paraId="5038AB33">
      <w:pPr>
        <w:ind w:left="360"/>
        <w:rPr>
          <w:rFonts w:hint="default" w:ascii="Adobe Arabic" w:hAnsi="Adobe Arabic" w:cs="Adobe Arabic"/>
          <w:sz w:val="22"/>
          <w:szCs w:val="22"/>
        </w:rPr>
      </w:pPr>
      <w:r>
        <w:rPr>
          <w:rFonts w:hint="default" w:ascii="Adobe Arabic" w:hAnsi="Adobe Arabic" w:cs="Adobe Arabic"/>
          <w:sz w:val="22"/>
          <w:szCs w:val="22"/>
        </w:rPr>
        <w:t>Mining remains one of the world's most hazardous industries.</w:t>
      </w:r>
    </w:p>
    <w:p w14:paraId="290C9E31">
      <w:pPr>
        <w:ind w:left="360"/>
        <w:rPr>
          <w:rFonts w:hint="default" w:ascii="Adobe Arabic" w:hAnsi="Adobe Arabic" w:cs="Adobe Arabic"/>
          <w:sz w:val="22"/>
          <w:szCs w:val="22"/>
        </w:rPr>
      </w:pPr>
      <w:r>
        <w:rPr>
          <w:rFonts w:hint="default" w:ascii="Adobe Arabic" w:hAnsi="Adobe Arabic" w:cs="Adobe Arabic"/>
          <w:sz w:val="22"/>
          <w:szCs w:val="22"/>
        </w:rPr>
        <w:t>Common risks include:</w:t>
      </w:r>
    </w:p>
    <w:p w14:paraId="641D8F6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Vehicle collisions</w:t>
      </w:r>
    </w:p>
    <w:p w14:paraId="5D130E79">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Ground instability</w:t>
      </w:r>
    </w:p>
    <w:p w14:paraId="3F1F30A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Toxic gas exposure</w:t>
      </w:r>
    </w:p>
    <w:p w14:paraId="2A9ADB80">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Fatigue-related incidents</w:t>
      </w:r>
    </w:p>
    <w:p w14:paraId="11E38D01">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Confined space hazards</w:t>
      </w:r>
    </w:p>
    <w:p w14:paraId="61A5081F">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Equipment failures</w:t>
      </w:r>
    </w:p>
    <w:p w14:paraId="13358646">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Environmental incidents</w:t>
      </w:r>
    </w:p>
    <w:p w14:paraId="531C79A9">
      <w:pPr>
        <w:ind w:left="360"/>
        <w:rPr>
          <w:rFonts w:hint="default" w:ascii="Adobe Arabic" w:hAnsi="Adobe Arabic" w:cs="Adobe Arabic"/>
          <w:sz w:val="22"/>
          <w:szCs w:val="22"/>
        </w:rPr>
      </w:pPr>
      <w:r>
        <w:rPr>
          <w:rFonts w:hint="default" w:ascii="Adobe Arabic" w:hAnsi="Adobe Arabic" w:cs="Adobe Arabic"/>
          <w:sz w:val="22"/>
          <w:szCs w:val="22"/>
        </w:rPr>
        <w:t>IoT significantly strengthens operational safety.  Safety is strengthened further when sensor data is correlated with AI video analytics, geofencing, equipment telemetry, environmental conditions, and worker location to create a common operating picture for safety teams.</w:t>
      </w:r>
    </w:p>
    <w:p w14:paraId="7D34E375">
      <w:pPr>
        <w:pStyle w:val="35"/>
        <w:numPr>
          <w:ilvl w:val="1"/>
          <w:numId w:val="11"/>
        </w:numPr>
        <w:jc w:val="both"/>
        <w:rPr>
          <w:rFonts w:hint="default" w:ascii="Adobe Arabic" w:hAnsi="Adobe Arabic" w:cs="Adobe Arabic"/>
          <w:b/>
          <w:bCs/>
          <w:sz w:val="22"/>
          <w:szCs w:val="22"/>
        </w:rPr>
      </w:pPr>
      <w:r>
        <w:rPr>
          <w:rFonts w:hint="default" w:ascii="Adobe Arabic" w:hAnsi="Adobe Arabic" w:cs="Adobe Arabic"/>
          <w:b/>
          <w:bCs/>
          <w:sz w:val="22"/>
          <w:szCs w:val="22"/>
        </w:rPr>
        <w:t>Collision Avoidance</w:t>
      </w:r>
    </w:p>
    <w:p w14:paraId="7106EA6D">
      <w:pPr>
        <w:ind w:left="360"/>
        <w:rPr>
          <w:rFonts w:hint="default" w:ascii="Adobe Arabic" w:hAnsi="Adobe Arabic" w:cs="Adobe Arabic"/>
          <w:sz w:val="22"/>
          <w:szCs w:val="22"/>
        </w:rPr>
      </w:pPr>
      <w:r>
        <w:rPr>
          <w:rFonts w:hint="default" w:ascii="Adobe Arabic" w:hAnsi="Adobe Arabic" w:cs="Adobe Arabic"/>
          <w:sz w:val="22"/>
          <w:szCs w:val="22"/>
        </w:rPr>
        <w:t>IoT sensors combined with GPS and proximity technologies can detect:</w:t>
      </w:r>
    </w:p>
    <w:p w14:paraId="315C393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Vehicle-to-vehicle proximity</w:t>
      </w:r>
    </w:p>
    <w:p w14:paraId="3A0C59FC">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Vehicle-to-person interactions</w:t>
      </w:r>
    </w:p>
    <w:p w14:paraId="06E4F251">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Blind-spot hazards</w:t>
      </w:r>
    </w:p>
    <w:p w14:paraId="1830B1C5">
      <w:pPr>
        <w:ind w:left="360"/>
        <w:jc w:val="both"/>
        <w:rPr>
          <w:rFonts w:hint="default" w:ascii="Adobe Arabic" w:hAnsi="Adobe Arabic" w:cs="Adobe Arabic"/>
          <w:sz w:val="22"/>
          <w:szCs w:val="22"/>
        </w:rPr>
      </w:pPr>
      <w:r>
        <w:rPr>
          <w:rFonts w:hint="default" w:ascii="Adobe Arabic" w:hAnsi="Adobe Arabic" w:cs="Adobe Arabic"/>
          <w:sz w:val="22"/>
          <w:szCs w:val="22"/>
        </w:rPr>
        <w:t>Real-time alerts help operators avoid collisions.</w:t>
      </w:r>
    </w:p>
    <w:p w14:paraId="166934EE">
      <w:pPr>
        <w:ind w:left="360"/>
        <w:jc w:val="both"/>
        <w:rPr>
          <w:rFonts w:hint="default" w:ascii="Adobe Arabic" w:hAnsi="Adobe Arabic" w:cs="Adobe Arabic"/>
          <w:sz w:val="22"/>
          <w:szCs w:val="22"/>
        </w:rPr>
      </w:pPr>
      <w:r>
        <w:rPr>
          <w:rFonts w:hint="default" w:ascii="Adobe Arabic" w:hAnsi="Adobe Arabic" w:cs="Adobe Arabic"/>
          <w:sz w:val="22"/>
          <w:szCs w:val="22"/>
        </w:rPr>
        <w:t>Depending on the technology and operating environment, systems may provide graded warnings, operator alerts, or integration with vehicle-control functions. Safety-critical automation should be validated against the mine's operating procedures and applicable regulatory requirements.</w:t>
      </w:r>
    </w:p>
    <w:p w14:paraId="1F2089B7">
      <w:pPr>
        <w:ind w:left="360"/>
        <w:rPr>
          <w:rFonts w:hint="default" w:ascii="Adobe Arabic" w:hAnsi="Adobe Arabic" w:cs="Adobe Arabic"/>
          <w:b/>
          <w:bCs/>
          <w:sz w:val="22"/>
          <w:szCs w:val="22"/>
        </w:rPr>
      </w:pPr>
      <w:r>
        <w:rPr>
          <w:rFonts w:hint="default" w:ascii="Adobe Arabic" w:hAnsi="Adobe Arabic" w:cs="Adobe Arabic"/>
          <w:b/>
          <w:bCs/>
          <w:sz w:val="22"/>
          <w:szCs w:val="22"/>
        </w:rPr>
        <w:t>Benefits</w:t>
      </w:r>
    </w:p>
    <w:p w14:paraId="3E4FFF5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Reduced accidents</w:t>
      </w:r>
    </w:p>
    <w:p w14:paraId="1E032F28">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Lower insurance costs</w:t>
      </w:r>
    </w:p>
    <w:p w14:paraId="7B34CBBF">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Enhanced operational confidence</w:t>
      </w:r>
    </w:p>
    <w:p w14:paraId="52F4EF9A">
      <w:pPr>
        <w:pStyle w:val="35"/>
        <w:numPr>
          <w:ilvl w:val="1"/>
          <w:numId w:val="12"/>
        </w:numPr>
        <w:jc w:val="both"/>
        <w:rPr>
          <w:rFonts w:hint="default" w:ascii="Adobe Arabic" w:hAnsi="Adobe Arabic" w:cs="Adobe Arabic"/>
          <w:b/>
          <w:bCs/>
          <w:sz w:val="22"/>
          <w:szCs w:val="22"/>
        </w:rPr>
      </w:pPr>
      <w:r>
        <w:rPr>
          <w:rFonts w:hint="default" w:ascii="Adobe Arabic" w:hAnsi="Adobe Arabic" w:cs="Adobe Arabic"/>
          <w:b/>
          <w:bCs/>
          <w:sz w:val="22"/>
          <w:szCs w:val="22"/>
        </w:rPr>
        <w:t>Environmental Monitoring</w:t>
      </w:r>
    </w:p>
    <w:p w14:paraId="1998D6E4">
      <w:pPr>
        <w:ind w:left="360"/>
        <w:rPr>
          <w:rFonts w:hint="default" w:ascii="Adobe Arabic" w:hAnsi="Adobe Arabic" w:cs="Adobe Arabic"/>
          <w:sz w:val="22"/>
          <w:szCs w:val="22"/>
        </w:rPr>
      </w:pPr>
      <w:r>
        <w:rPr>
          <w:rFonts w:hint="default" w:ascii="Adobe Arabic" w:hAnsi="Adobe Arabic" w:cs="Adobe Arabic"/>
          <w:sz w:val="22"/>
          <w:szCs w:val="22"/>
        </w:rPr>
        <w:t>IoT environmental sensors continuously monitor:</w:t>
      </w:r>
    </w:p>
    <w:p w14:paraId="1778AA8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Dust levels</w:t>
      </w:r>
    </w:p>
    <w:p w14:paraId="0B335570">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Methane concentration</w:t>
      </w:r>
    </w:p>
    <w:p w14:paraId="4B617357">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Carbon monoxide</w:t>
      </w:r>
    </w:p>
    <w:p w14:paraId="7492BFA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Temperature</w:t>
      </w:r>
    </w:p>
    <w:p w14:paraId="3CCF247D">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Humidity</w:t>
      </w:r>
    </w:p>
    <w:p w14:paraId="71B79983">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Air quality</w:t>
      </w:r>
    </w:p>
    <w:p w14:paraId="24A40F19">
      <w:pPr>
        <w:pStyle w:val="35"/>
        <w:numPr>
          <w:ilvl w:val="1"/>
          <w:numId w:val="2"/>
        </w:numPr>
        <w:rPr>
          <w:rFonts w:hint="default" w:ascii="Adobe Arabic" w:hAnsi="Adobe Arabic" w:cs="Adobe Arabic"/>
          <w:sz w:val="22"/>
          <w:szCs w:val="22"/>
        </w:rPr>
      </w:pPr>
      <w:r>
        <w:rPr>
          <w:rFonts w:hint="default" w:ascii="Adobe Arabic" w:hAnsi="Adobe Arabic" w:cs="Adobe Arabic"/>
          <w:sz w:val="22"/>
          <w:szCs w:val="22"/>
        </w:rPr>
        <w:t>Visibility / dust-event conditions</w:t>
      </w:r>
    </w:p>
    <w:p w14:paraId="44E3EDF3">
      <w:pPr>
        <w:ind w:left="360"/>
        <w:jc w:val="both"/>
        <w:rPr>
          <w:rFonts w:hint="default" w:ascii="Adobe Arabic" w:hAnsi="Adobe Arabic" w:cs="Adobe Arabic"/>
          <w:sz w:val="22"/>
          <w:szCs w:val="22"/>
        </w:rPr>
      </w:pPr>
      <w:r>
        <w:rPr>
          <w:rFonts w:hint="default" w:ascii="Adobe Arabic" w:hAnsi="Adobe Arabic" w:cs="Adobe Arabic"/>
          <w:sz w:val="22"/>
          <w:szCs w:val="22"/>
        </w:rPr>
        <w:t>Alerts can be generated immediately when thresholds are exceeded. Environmental events can also be correlated with workforce location and operating zones so that exposure can be assessed and response actions prioritized.</w:t>
      </w:r>
    </w:p>
    <w:p w14:paraId="47F9D316">
      <w:pPr>
        <w:ind w:left="360"/>
        <w:rPr>
          <w:rFonts w:hint="default" w:ascii="Adobe Arabic" w:hAnsi="Adobe Arabic" w:cs="Adobe Arabic"/>
          <w:b/>
          <w:bCs/>
          <w:sz w:val="22"/>
          <w:szCs w:val="22"/>
        </w:rPr>
      </w:pPr>
      <w:r>
        <w:rPr>
          <w:rFonts w:hint="default" w:ascii="Adobe Arabic" w:hAnsi="Adobe Arabic" w:cs="Adobe Arabic"/>
          <w:b/>
          <w:bCs/>
          <w:sz w:val="22"/>
          <w:szCs w:val="22"/>
        </w:rPr>
        <w:t>Benefits</w:t>
      </w:r>
    </w:p>
    <w:p w14:paraId="5623BF4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Faster incident response</w:t>
      </w:r>
    </w:p>
    <w:p w14:paraId="346D9076">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Improved compliance</w:t>
      </w:r>
    </w:p>
    <w:p w14:paraId="6A4BC2E6">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Reduced workforce exposure</w:t>
      </w:r>
    </w:p>
    <w:p w14:paraId="6BCEA355">
      <w:pPr>
        <w:rPr>
          <w:rFonts w:hint="default" w:ascii="Adobe Arabic" w:hAnsi="Adobe Arabic" w:cs="Adobe Arabic"/>
          <w:b/>
          <w:bCs/>
          <w:sz w:val="2"/>
          <w:szCs w:val="2"/>
        </w:rPr>
      </w:pPr>
    </w:p>
    <w:p w14:paraId="285FF5CE">
      <w:pPr>
        <w:pStyle w:val="35"/>
        <w:numPr>
          <w:ilvl w:val="1"/>
          <w:numId w:val="12"/>
        </w:numPr>
        <w:jc w:val="both"/>
        <w:rPr>
          <w:rFonts w:hint="default" w:ascii="Adobe Arabic" w:hAnsi="Adobe Arabic" w:cs="Adobe Arabic"/>
          <w:b/>
          <w:bCs/>
          <w:sz w:val="22"/>
          <w:szCs w:val="22"/>
        </w:rPr>
      </w:pPr>
      <w:r>
        <w:rPr>
          <w:rFonts w:hint="default" w:ascii="Adobe Arabic" w:hAnsi="Adobe Arabic" w:cs="Adobe Arabic"/>
          <w:b/>
          <w:bCs/>
          <w:sz w:val="22"/>
          <w:szCs w:val="22"/>
        </w:rPr>
        <w:t>Geofencing and Restricted Area Management</w:t>
      </w:r>
    </w:p>
    <w:p w14:paraId="0465B449">
      <w:pPr>
        <w:ind w:left="360"/>
        <w:rPr>
          <w:rFonts w:hint="default" w:ascii="Adobe Arabic" w:hAnsi="Adobe Arabic" w:cs="Adobe Arabic"/>
          <w:sz w:val="22"/>
          <w:szCs w:val="22"/>
        </w:rPr>
      </w:pPr>
      <w:r>
        <w:rPr>
          <w:rFonts w:hint="default" w:ascii="Adobe Arabic" w:hAnsi="Adobe Arabic" w:cs="Adobe Arabic"/>
          <w:sz w:val="22"/>
          <w:szCs w:val="22"/>
        </w:rPr>
        <w:t>Virtual geofences can monitor access to:</w:t>
      </w:r>
    </w:p>
    <w:p w14:paraId="4CC1FCD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Blasting zones</w:t>
      </w:r>
    </w:p>
    <w:p w14:paraId="490D4694">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High-risk operating areas</w:t>
      </w:r>
    </w:p>
    <w:p w14:paraId="1D597562">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Maintenance zones</w:t>
      </w:r>
    </w:p>
    <w:p w14:paraId="0BF8ED5F">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Hazardous storage locations</w:t>
      </w:r>
    </w:p>
    <w:p w14:paraId="57805AB7">
      <w:pPr>
        <w:ind w:left="360"/>
        <w:jc w:val="both"/>
        <w:rPr>
          <w:rFonts w:hint="default" w:ascii="Adobe Arabic" w:hAnsi="Adobe Arabic" w:cs="Adobe Arabic"/>
          <w:sz w:val="22"/>
          <w:szCs w:val="22"/>
        </w:rPr>
      </w:pPr>
      <w:r>
        <w:rPr>
          <w:rFonts w:hint="default" w:ascii="Adobe Arabic" w:hAnsi="Adobe Arabic" w:cs="Adobe Arabic"/>
          <w:sz w:val="22"/>
          <w:szCs w:val="22"/>
        </w:rPr>
        <w:t>Automatic notifications are generated when unauthorized entry occurs. Geofencing can also be linked to vehicle dispatch, worker alerts, video verification, and incident workflows to create a coordinated response rather than a stand-alone notification.</w:t>
      </w:r>
    </w:p>
    <w:p w14:paraId="09AC2923">
      <w:pPr>
        <w:pStyle w:val="35"/>
        <w:numPr>
          <w:ilvl w:val="1"/>
          <w:numId w:val="13"/>
        </w:numPr>
        <w:jc w:val="both"/>
        <w:rPr>
          <w:rFonts w:hint="default" w:ascii="Adobe Arabic" w:hAnsi="Adobe Arabic" w:cs="Adobe Arabic"/>
          <w:b/>
          <w:bCs/>
          <w:sz w:val="22"/>
          <w:szCs w:val="22"/>
        </w:rPr>
      </w:pPr>
      <w:r>
        <w:rPr>
          <w:rFonts w:hint="default" w:ascii="Adobe Arabic" w:hAnsi="Adobe Arabic" w:cs="Adobe Arabic"/>
          <w:b/>
          <w:bCs/>
          <w:sz w:val="22"/>
          <w:szCs w:val="22"/>
        </w:rPr>
        <w:t>Emergency Response Management</w:t>
      </w:r>
    </w:p>
    <w:p w14:paraId="2CB2E0C8">
      <w:pPr>
        <w:ind w:left="360"/>
        <w:jc w:val="both"/>
        <w:rPr>
          <w:rFonts w:hint="default" w:ascii="Adobe Arabic" w:hAnsi="Adobe Arabic" w:cs="Adobe Arabic"/>
          <w:sz w:val="22"/>
          <w:szCs w:val="22"/>
        </w:rPr>
      </w:pPr>
      <w:r>
        <w:rPr>
          <w:rFonts w:hint="default" w:ascii="Adobe Arabic" w:hAnsi="Adobe Arabic" w:cs="Adobe Arabic"/>
          <w:sz w:val="22"/>
          <w:szCs w:val="22"/>
        </w:rPr>
        <w:t>During emergencies, IoT systems provide:</w:t>
      </w:r>
    </w:p>
    <w:p w14:paraId="656633E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Real-time worker location</w:t>
      </w:r>
    </w:p>
    <w:p w14:paraId="1CE2A15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Muster verification</w:t>
      </w:r>
    </w:p>
    <w:p w14:paraId="3D54D183">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Evacuation monitoring</w:t>
      </w:r>
    </w:p>
    <w:p w14:paraId="79F663EE">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Personnel accountability</w:t>
      </w:r>
    </w:p>
    <w:p w14:paraId="7C649D64">
      <w:pPr>
        <w:ind w:left="360"/>
        <w:jc w:val="both"/>
        <w:rPr>
          <w:rFonts w:hint="default" w:ascii="Adobe Arabic" w:hAnsi="Adobe Arabic" w:cs="Adobe Arabic"/>
          <w:sz w:val="22"/>
          <w:szCs w:val="22"/>
        </w:rPr>
      </w:pPr>
      <w:r>
        <w:rPr>
          <w:rFonts w:hint="default" w:ascii="Adobe Arabic" w:hAnsi="Adobe Arabic" w:cs="Adobe Arabic"/>
          <w:sz w:val="22"/>
          <w:szCs w:val="22"/>
        </w:rPr>
        <w:t>Leadership gains complete visibility during critical events.</w:t>
      </w:r>
    </w:p>
    <w:p w14:paraId="22744EDD">
      <w:pPr>
        <w:ind w:left="360"/>
        <w:jc w:val="both"/>
        <w:rPr>
          <w:rFonts w:hint="default" w:ascii="Adobe Arabic" w:hAnsi="Adobe Arabic" w:cs="Adobe Arabic"/>
          <w:sz w:val="22"/>
          <w:szCs w:val="22"/>
        </w:rPr>
      </w:pPr>
      <w:r>
        <w:rPr>
          <w:rFonts w:hint="default" w:ascii="Adobe Arabic" w:hAnsi="Adobe Arabic" w:cs="Adobe Arabic"/>
          <w:sz w:val="22"/>
          <w:szCs w:val="22"/>
        </w:rPr>
        <w:t>An integrated incident-management workflow can preserve the event timeline, associated sensor/video evidence, actions taken, and closure status for post-incident analysis and compliance reporting.</w:t>
      </w:r>
    </w:p>
    <w:p w14:paraId="3AF6EFF4">
      <w:pPr>
        <w:ind w:left="360"/>
        <w:jc w:val="both"/>
        <w:rPr>
          <w:rFonts w:hint="default" w:ascii="Adobe Arabic" w:hAnsi="Adobe Arabic" w:cs="Adobe Arabic"/>
        </w:rPr>
      </w:pPr>
    </w:p>
    <w:p w14:paraId="2E602966">
      <w:pPr>
        <w:pStyle w:val="35"/>
        <w:numPr>
          <w:ilvl w:val="0"/>
          <w:numId w:val="3"/>
        </w:numPr>
        <w:rPr>
          <w:rFonts w:hint="default" w:ascii="Adobe Arabic" w:hAnsi="Adobe Arabic" w:cs="Adobe Arabic"/>
          <w:b/>
          <w:bCs/>
        </w:rPr>
      </w:pPr>
      <w:r>
        <w:rPr>
          <w:rFonts w:hint="default" w:ascii="Adobe Arabic" w:hAnsi="Adobe Arabic" w:cs="Adobe Arabic"/>
          <w:b/>
          <w:bCs/>
        </w:rPr>
        <w:t>Workforce Health and Well-being</w:t>
      </w:r>
    </w:p>
    <w:p w14:paraId="3A210C04">
      <w:pPr>
        <w:pStyle w:val="35"/>
        <w:numPr>
          <w:ilvl w:val="1"/>
          <w:numId w:val="14"/>
        </w:numPr>
        <w:jc w:val="both"/>
        <w:rPr>
          <w:rFonts w:hint="default" w:ascii="Adobe Arabic" w:hAnsi="Adobe Arabic" w:cs="Adobe Arabic"/>
          <w:b/>
          <w:bCs/>
          <w:sz w:val="22"/>
          <w:szCs w:val="22"/>
        </w:rPr>
      </w:pPr>
      <w:r>
        <w:rPr>
          <w:rFonts w:hint="default" w:ascii="Adobe Arabic" w:hAnsi="Adobe Arabic" w:cs="Adobe Arabic"/>
          <w:b/>
          <w:bCs/>
          <w:sz w:val="22"/>
          <w:szCs w:val="22"/>
        </w:rPr>
        <w:t>The Human-Centric Mining Enterprise</w:t>
      </w:r>
    </w:p>
    <w:p w14:paraId="20D6C6C1">
      <w:pPr>
        <w:ind w:left="360"/>
        <w:jc w:val="both"/>
        <w:rPr>
          <w:rFonts w:hint="default" w:ascii="Adobe Arabic" w:hAnsi="Adobe Arabic" w:cs="Adobe Arabic"/>
          <w:sz w:val="22"/>
          <w:szCs w:val="22"/>
        </w:rPr>
      </w:pPr>
      <w:r>
        <w:rPr>
          <w:rFonts w:hint="default" w:ascii="Adobe Arabic" w:hAnsi="Adobe Arabic" w:cs="Adobe Arabic"/>
          <w:sz w:val="22"/>
          <w:szCs w:val="22"/>
        </w:rPr>
        <w:t>Progressive mining organizations recognize that safety extends beyond accident prevention.</w:t>
      </w:r>
    </w:p>
    <w:p w14:paraId="3A21863A">
      <w:pPr>
        <w:ind w:left="360"/>
        <w:jc w:val="both"/>
        <w:rPr>
          <w:rFonts w:hint="default" w:ascii="Adobe Arabic" w:hAnsi="Adobe Arabic" w:cs="Adobe Arabic"/>
          <w:sz w:val="22"/>
          <w:szCs w:val="22"/>
        </w:rPr>
      </w:pPr>
      <w:r>
        <w:rPr>
          <w:rFonts w:hint="default" w:ascii="Adobe Arabic" w:hAnsi="Adobe Arabic" w:cs="Adobe Arabic"/>
          <w:sz w:val="22"/>
          <w:szCs w:val="22"/>
        </w:rPr>
        <w:t>Workforce well-being has become a strategic priority. IoT enables proactive employee health monitoring while improving workplace conditions.</w:t>
      </w:r>
    </w:p>
    <w:p w14:paraId="005ACFDE">
      <w:pPr>
        <w:pStyle w:val="35"/>
        <w:numPr>
          <w:ilvl w:val="1"/>
          <w:numId w:val="14"/>
        </w:numPr>
        <w:jc w:val="both"/>
        <w:rPr>
          <w:rFonts w:hint="default" w:ascii="Adobe Arabic" w:hAnsi="Adobe Arabic" w:cs="Adobe Arabic"/>
          <w:b/>
          <w:bCs/>
          <w:sz w:val="22"/>
          <w:szCs w:val="22"/>
        </w:rPr>
      </w:pPr>
      <w:r>
        <w:rPr>
          <w:rFonts w:hint="default" w:ascii="Adobe Arabic" w:hAnsi="Adobe Arabic" w:cs="Adobe Arabic"/>
          <w:b/>
          <w:bCs/>
          <w:sz w:val="22"/>
          <w:szCs w:val="22"/>
        </w:rPr>
        <w:t>Wearable Technology</w:t>
      </w:r>
    </w:p>
    <w:p w14:paraId="36E5261B">
      <w:pPr>
        <w:ind w:left="360"/>
        <w:jc w:val="both"/>
        <w:rPr>
          <w:rFonts w:hint="default" w:ascii="Adobe Arabic" w:hAnsi="Adobe Arabic" w:cs="Adobe Arabic"/>
          <w:sz w:val="22"/>
          <w:szCs w:val="22"/>
        </w:rPr>
      </w:pPr>
      <w:r>
        <w:rPr>
          <w:rFonts w:hint="default" w:ascii="Adobe Arabic" w:hAnsi="Adobe Arabic" w:cs="Adobe Arabic"/>
          <w:sz w:val="22"/>
          <w:szCs w:val="22"/>
        </w:rPr>
        <w:t>Smart wearables can monitor:</w:t>
      </w:r>
    </w:p>
    <w:p w14:paraId="0FF3A4F7">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Heart rate</w:t>
      </w:r>
    </w:p>
    <w:p w14:paraId="110C60B7">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Fatigue indicators</w:t>
      </w:r>
    </w:p>
    <w:p w14:paraId="22E6FCD0">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Body temperature</w:t>
      </w:r>
    </w:p>
    <w:p w14:paraId="127D711C">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Physical exertion</w:t>
      </w:r>
    </w:p>
    <w:p w14:paraId="716905D4">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Location tracking</w:t>
      </w:r>
    </w:p>
    <w:p w14:paraId="65117ADE">
      <w:pPr>
        <w:ind w:left="360"/>
        <w:jc w:val="both"/>
        <w:rPr>
          <w:rFonts w:hint="default" w:ascii="Adobe Arabic" w:hAnsi="Adobe Arabic" w:cs="Adobe Arabic"/>
          <w:sz w:val="22"/>
          <w:szCs w:val="22"/>
        </w:rPr>
      </w:pPr>
      <w:r>
        <w:rPr>
          <w:rFonts w:hint="default" w:ascii="Adobe Arabic" w:hAnsi="Adobe Arabic" w:cs="Adobe Arabic"/>
          <w:sz w:val="22"/>
          <w:szCs w:val="22"/>
        </w:rPr>
        <w:t>These devices help identify conditions that may lead to health or safety incidents.</w:t>
      </w:r>
    </w:p>
    <w:p w14:paraId="10B9F705">
      <w:pPr>
        <w:ind w:left="360"/>
        <w:jc w:val="both"/>
        <w:rPr>
          <w:rFonts w:hint="default" w:ascii="Adobe Arabic" w:hAnsi="Adobe Arabic" w:cs="Adobe Arabic"/>
          <w:sz w:val="22"/>
          <w:szCs w:val="22"/>
        </w:rPr>
      </w:pPr>
      <w:r>
        <w:rPr>
          <w:rFonts w:hint="default" w:ascii="Adobe Arabic" w:hAnsi="Adobe Arabic" w:cs="Adobe Arabic"/>
          <w:sz w:val="22"/>
          <w:szCs w:val="22"/>
        </w:rPr>
        <w:t>Where physiological monitoring is used, organizations should define clear purpose, consent, access controls, retention periods, and data-governance practices so that worker well-being technology is used responsibly and does not become an uncontrolled source of personal surveillance.</w:t>
      </w:r>
    </w:p>
    <w:p w14:paraId="1DF39C7F">
      <w:pPr>
        <w:pStyle w:val="35"/>
        <w:numPr>
          <w:ilvl w:val="1"/>
          <w:numId w:val="14"/>
        </w:numPr>
        <w:jc w:val="both"/>
        <w:rPr>
          <w:rFonts w:hint="default" w:ascii="Adobe Arabic" w:hAnsi="Adobe Arabic" w:cs="Adobe Arabic"/>
          <w:b/>
          <w:bCs/>
          <w:sz w:val="22"/>
          <w:szCs w:val="22"/>
        </w:rPr>
      </w:pPr>
      <w:r>
        <w:rPr>
          <w:rFonts w:hint="default" w:ascii="Adobe Arabic" w:hAnsi="Adobe Arabic" w:cs="Adobe Arabic"/>
          <w:b/>
          <w:bCs/>
          <w:sz w:val="22"/>
          <w:szCs w:val="22"/>
        </w:rPr>
        <w:t>Fatigue Management</w:t>
      </w:r>
    </w:p>
    <w:p w14:paraId="25C76478">
      <w:pPr>
        <w:ind w:left="360"/>
        <w:jc w:val="both"/>
        <w:rPr>
          <w:rFonts w:hint="default" w:ascii="Adobe Arabic" w:hAnsi="Adobe Arabic" w:cs="Adobe Arabic"/>
          <w:sz w:val="22"/>
          <w:szCs w:val="22"/>
        </w:rPr>
      </w:pPr>
      <w:r>
        <w:rPr>
          <w:rFonts w:hint="default" w:ascii="Adobe Arabic" w:hAnsi="Adobe Arabic" w:cs="Adobe Arabic"/>
          <w:sz w:val="22"/>
          <w:szCs w:val="22"/>
        </w:rPr>
        <w:t>Fatigue is a major contributor to mining accidents.</w:t>
      </w:r>
    </w:p>
    <w:p w14:paraId="6D660923">
      <w:pPr>
        <w:ind w:left="360"/>
        <w:jc w:val="both"/>
        <w:rPr>
          <w:rFonts w:hint="default" w:ascii="Adobe Arabic" w:hAnsi="Adobe Arabic" w:cs="Adobe Arabic"/>
          <w:sz w:val="22"/>
          <w:szCs w:val="22"/>
        </w:rPr>
      </w:pPr>
      <w:r>
        <w:rPr>
          <w:rFonts w:hint="default" w:ascii="Adobe Arabic" w:hAnsi="Adobe Arabic" w:cs="Adobe Arabic"/>
          <w:sz w:val="22"/>
          <w:szCs w:val="22"/>
        </w:rPr>
        <w:t>IoT-enabled systems can monitor:</w:t>
      </w:r>
    </w:p>
    <w:p w14:paraId="7E7970B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Shift duration</w:t>
      </w:r>
    </w:p>
    <w:p w14:paraId="13E6C13A">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Fatigue indicators</w:t>
      </w:r>
    </w:p>
    <w:p w14:paraId="168F9B53">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Operator alertness</w:t>
      </w:r>
    </w:p>
    <w:p w14:paraId="1E467D0C">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Vehicle driving behaviour</w:t>
      </w:r>
    </w:p>
    <w:p w14:paraId="1137EA30">
      <w:pPr>
        <w:ind w:left="360"/>
        <w:rPr>
          <w:rFonts w:hint="default" w:ascii="Adobe Arabic" w:hAnsi="Adobe Arabic" w:cs="Adobe Arabic"/>
          <w:sz w:val="22"/>
          <w:szCs w:val="22"/>
        </w:rPr>
      </w:pPr>
      <w:r>
        <w:rPr>
          <w:rFonts w:hint="default" w:ascii="Adobe Arabic" w:hAnsi="Adobe Arabic" w:cs="Adobe Arabic"/>
          <w:sz w:val="22"/>
          <w:szCs w:val="22"/>
        </w:rPr>
        <w:t>Supervisors receive alerts when risk levels increase.</w:t>
      </w:r>
    </w:p>
    <w:p w14:paraId="291FE916">
      <w:pPr>
        <w:ind w:left="360"/>
        <w:rPr>
          <w:rFonts w:hint="default" w:ascii="Adobe Arabic" w:hAnsi="Adobe Arabic" w:cs="Adobe Arabic"/>
          <w:b/>
          <w:bCs/>
          <w:sz w:val="22"/>
          <w:szCs w:val="22"/>
        </w:rPr>
      </w:pPr>
      <w:r>
        <w:rPr>
          <w:rFonts w:hint="default" w:ascii="Adobe Arabic" w:hAnsi="Adobe Arabic" w:cs="Adobe Arabic"/>
          <w:b/>
          <w:bCs/>
          <w:sz w:val="22"/>
          <w:szCs w:val="22"/>
        </w:rPr>
        <w:t>Benefits</w:t>
      </w:r>
    </w:p>
    <w:p w14:paraId="483DCCEE">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Fewer fatigue-related incidents</w:t>
      </w:r>
    </w:p>
    <w:p w14:paraId="05EB9B6F">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Improved workforce performance</w:t>
      </w:r>
    </w:p>
    <w:p w14:paraId="3AB6A40D">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Better worker health outcomes</w:t>
      </w:r>
    </w:p>
    <w:p w14:paraId="06BDB599">
      <w:pPr>
        <w:ind w:left="360"/>
        <w:rPr>
          <w:rFonts w:hint="default" w:ascii="Adobe Arabic" w:hAnsi="Adobe Arabic" w:cs="Adobe Arabic"/>
          <w:sz w:val="4"/>
          <w:szCs w:val="4"/>
        </w:rPr>
      </w:pPr>
    </w:p>
    <w:p w14:paraId="6E1A27EC">
      <w:pPr>
        <w:pStyle w:val="35"/>
        <w:numPr>
          <w:ilvl w:val="1"/>
          <w:numId w:val="14"/>
        </w:numPr>
        <w:jc w:val="both"/>
        <w:rPr>
          <w:rFonts w:hint="default" w:ascii="Adobe Arabic" w:hAnsi="Adobe Arabic" w:cs="Adobe Arabic"/>
          <w:b/>
          <w:bCs/>
          <w:sz w:val="22"/>
          <w:szCs w:val="22"/>
        </w:rPr>
      </w:pPr>
      <w:r>
        <w:rPr>
          <w:rFonts w:hint="default" w:ascii="Adobe Arabic" w:hAnsi="Adobe Arabic" w:cs="Adobe Arabic"/>
          <w:b/>
          <w:bCs/>
          <w:sz w:val="22"/>
          <w:szCs w:val="22"/>
        </w:rPr>
        <w:t>Lone Worker Protection</w:t>
      </w:r>
    </w:p>
    <w:p w14:paraId="7C7A7993">
      <w:pPr>
        <w:ind w:left="360"/>
        <w:jc w:val="both"/>
        <w:rPr>
          <w:rFonts w:hint="default" w:ascii="Adobe Arabic" w:hAnsi="Adobe Arabic" w:cs="Adobe Arabic"/>
          <w:sz w:val="22"/>
          <w:szCs w:val="22"/>
        </w:rPr>
      </w:pPr>
      <w:r>
        <w:rPr>
          <w:rFonts w:hint="default" w:ascii="Adobe Arabic" w:hAnsi="Adobe Arabic" w:cs="Adobe Arabic"/>
          <w:sz w:val="22"/>
          <w:szCs w:val="22"/>
        </w:rPr>
        <w:t>Workers often operate in remote locations.</w:t>
      </w:r>
    </w:p>
    <w:p w14:paraId="0196EB86">
      <w:pPr>
        <w:ind w:left="360"/>
        <w:jc w:val="both"/>
        <w:rPr>
          <w:rFonts w:hint="default" w:ascii="Adobe Arabic" w:hAnsi="Adobe Arabic" w:cs="Adobe Arabic"/>
          <w:sz w:val="22"/>
          <w:szCs w:val="22"/>
        </w:rPr>
      </w:pPr>
      <w:r>
        <w:rPr>
          <w:rFonts w:hint="default" w:ascii="Adobe Arabic" w:hAnsi="Adobe Arabic" w:cs="Adobe Arabic"/>
          <w:sz w:val="22"/>
          <w:szCs w:val="22"/>
        </w:rPr>
        <w:t>IoT devices provide:</w:t>
      </w:r>
    </w:p>
    <w:p w14:paraId="15D6358B">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Continuous monitoring</w:t>
      </w:r>
    </w:p>
    <w:p w14:paraId="55D0E25F">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Panic alarms</w:t>
      </w:r>
    </w:p>
    <w:p w14:paraId="498949CA">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Man-down detection</w:t>
      </w:r>
    </w:p>
    <w:p w14:paraId="32E0A280">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Automatic incident notifications</w:t>
      </w:r>
    </w:p>
    <w:p w14:paraId="5799F2B9">
      <w:pPr>
        <w:pStyle w:val="35"/>
        <w:numPr>
          <w:ilvl w:val="1"/>
          <w:numId w:val="2"/>
        </w:numPr>
        <w:rPr>
          <w:rFonts w:hint="default" w:ascii="Adobe Arabic" w:hAnsi="Adobe Arabic" w:cs="Adobe Arabic"/>
          <w:sz w:val="22"/>
          <w:szCs w:val="22"/>
        </w:rPr>
      </w:pPr>
      <w:r>
        <w:rPr>
          <w:rFonts w:hint="default" w:ascii="Adobe Arabic" w:hAnsi="Adobe Arabic" w:cs="Adobe Arabic"/>
          <w:sz w:val="22"/>
          <w:szCs w:val="22"/>
        </w:rPr>
        <w:t>Two-way voice / push-to-talk or emergency communication</w:t>
      </w:r>
    </w:p>
    <w:p w14:paraId="6EC6D35A">
      <w:pPr>
        <w:ind w:left="360"/>
        <w:jc w:val="both"/>
        <w:rPr>
          <w:rFonts w:hint="default" w:ascii="Adobe Arabic" w:hAnsi="Adobe Arabic" w:cs="Adobe Arabic"/>
          <w:sz w:val="22"/>
          <w:szCs w:val="22"/>
        </w:rPr>
      </w:pPr>
      <w:r>
        <w:rPr>
          <w:rFonts w:hint="default" w:ascii="Adobe Arabic" w:hAnsi="Adobe Arabic" w:cs="Adobe Arabic"/>
          <w:sz w:val="22"/>
          <w:szCs w:val="22"/>
        </w:rPr>
        <w:t>This significantly improves employee confidence and response times.</w:t>
      </w:r>
    </w:p>
    <w:p w14:paraId="0FFCC434">
      <w:pPr>
        <w:pStyle w:val="35"/>
        <w:numPr>
          <w:ilvl w:val="1"/>
          <w:numId w:val="14"/>
        </w:numPr>
        <w:jc w:val="both"/>
        <w:rPr>
          <w:rFonts w:hint="default" w:ascii="Adobe Arabic" w:hAnsi="Adobe Arabic" w:cs="Adobe Arabic"/>
          <w:b/>
          <w:bCs/>
          <w:sz w:val="22"/>
          <w:szCs w:val="22"/>
        </w:rPr>
      </w:pPr>
      <w:r>
        <w:rPr>
          <w:rFonts w:hint="default" w:ascii="Adobe Arabic" w:hAnsi="Adobe Arabic" w:cs="Adobe Arabic"/>
          <w:b/>
          <w:bCs/>
          <w:sz w:val="22"/>
          <w:szCs w:val="22"/>
        </w:rPr>
        <w:t>Well-being Analytics</w:t>
      </w:r>
    </w:p>
    <w:p w14:paraId="6EFFB67C">
      <w:pPr>
        <w:ind w:left="360"/>
        <w:jc w:val="both"/>
        <w:rPr>
          <w:rFonts w:hint="default" w:ascii="Adobe Arabic" w:hAnsi="Adobe Arabic" w:cs="Adobe Arabic"/>
          <w:sz w:val="22"/>
          <w:szCs w:val="22"/>
        </w:rPr>
      </w:pPr>
      <w:r>
        <w:rPr>
          <w:rFonts w:hint="default" w:ascii="Adobe Arabic" w:hAnsi="Adobe Arabic" w:cs="Adobe Arabic"/>
          <w:sz w:val="22"/>
          <w:szCs w:val="22"/>
        </w:rPr>
        <w:t>Organizations can leverage aggregated data to improve:</w:t>
      </w:r>
    </w:p>
    <w:p w14:paraId="6308AAB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Shift planning</w:t>
      </w:r>
    </w:p>
    <w:p w14:paraId="5E89BEBD">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Workforce scheduling</w:t>
      </w:r>
    </w:p>
    <w:p w14:paraId="65674275">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Exposure management</w:t>
      </w:r>
    </w:p>
    <w:p w14:paraId="456D6EA0">
      <w:pPr>
        <w:pStyle w:val="35"/>
        <w:numPr>
          <w:ilvl w:val="0"/>
          <w:numId w:val="2"/>
        </w:numPr>
        <w:ind w:left="720"/>
        <w:rPr>
          <w:rFonts w:hint="default" w:ascii="Adobe Arabic" w:hAnsi="Adobe Arabic" w:cs="Adobe Arabic"/>
          <w:sz w:val="22"/>
          <w:szCs w:val="22"/>
        </w:rPr>
      </w:pPr>
      <w:r>
        <w:rPr>
          <w:rFonts w:hint="default" w:ascii="Adobe Arabic" w:hAnsi="Adobe Arabic" w:cs="Adobe Arabic"/>
          <w:sz w:val="22"/>
          <w:szCs w:val="22"/>
        </w:rPr>
        <w:t>Occupational health programs</w:t>
      </w:r>
    </w:p>
    <w:p w14:paraId="09DF4411">
      <w:pPr>
        <w:ind w:left="360"/>
        <w:jc w:val="both"/>
        <w:rPr>
          <w:rFonts w:hint="default" w:ascii="Adobe Arabic" w:hAnsi="Adobe Arabic" w:cs="Adobe Arabic"/>
          <w:sz w:val="22"/>
          <w:szCs w:val="22"/>
        </w:rPr>
      </w:pPr>
      <w:r>
        <w:rPr>
          <w:rFonts w:hint="default" w:ascii="Adobe Arabic" w:hAnsi="Adobe Arabic" w:cs="Adobe Arabic"/>
          <w:sz w:val="22"/>
          <w:szCs w:val="22"/>
        </w:rPr>
        <w:t>The result is a healthier and more productive workforce. Workforce analytics should be used primarily to identify systemic improvements in work design, exposure, staffing, training, and emergency preparedness, with appropriate safeguards for individual privacy.</w:t>
      </w:r>
    </w:p>
    <w:p w14:paraId="02B93ACC">
      <w:pPr>
        <w:rPr>
          <w:rFonts w:hint="default" w:ascii="Adobe Arabic" w:hAnsi="Adobe Arabic" w:cs="Adobe Arabic"/>
          <w:b/>
          <w:bCs/>
          <w:color w:val="0070C0"/>
        </w:rPr>
      </w:pPr>
      <w:r>
        <w:rPr>
          <w:rFonts w:hint="default" w:ascii="Adobe Arabic" w:hAnsi="Adobe Arabic" w:cs="Adobe Arabic"/>
          <w:b/>
          <w:bCs/>
          <w:color w:val="0070C0"/>
        </w:rPr>
        <w:t>Strategic Benefits Across Stakeholders</w:t>
      </w:r>
    </w:p>
    <w:p w14:paraId="70EEB5D7">
      <w:pPr>
        <w:pStyle w:val="35"/>
        <w:numPr>
          <w:ilvl w:val="0"/>
          <w:numId w:val="3"/>
        </w:numPr>
        <w:rPr>
          <w:rFonts w:hint="default" w:ascii="Adobe Arabic" w:hAnsi="Adobe Arabic" w:cs="Adobe Arabic"/>
          <w:b/>
          <w:bCs/>
        </w:rPr>
      </w:pPr>
      <w:r>
        <w:rPr>
          <w:rFonts w:hint="default" w:ascii="Adobe Arabic" w:hAnsi="Adobe Arabic" w:cs="Adobe Arabic"/>
          <w:b/>
          <w:bCs/>
        </w:rPr>
        <w:t>Integrated Mining Intelligence and Command Centre</w:t>
      </w:r>
    </w:p>
    <w:p w14:paraId="10C2F4E4">
      <w:pPr>
        <w:jc w:val="both"/>
        <w:rPr>
          <w:rFonts w:hint="default" w:ascii="Adobe Arabic" w:hAnsi="Adobe Arabic" w:cs="Adobe Arabic"/>
          <w:b/>
          <w:bCs/>
          <w:sz w:val="20"/>
          <w:szCs w:val="20"/>
        </w:rPr>
      </w:pPr>
      <w:r>
        <w:rPr>
          <w:rFonts w:hint="default" w:ascii="Adobe Arabic" w:hAnsi="Adobe Arabic" w:cs="Adobe Arabic"/>
          <w:sz w:val="20"/>
          <w:szCs w:val="20"/>
        </w:rPr>
        <w:t>The next step beyond individual IoT use cases is to integrate operational data into a common mining intelligence environment. A Mine Operations Command Centre can combine GIS, fleet telemetry, IoT events, CCTV and AI video analytics, worker location, environmental monitoring, production data, maintenance alerts, and incident management.</w:t>
      </w:r>
    </w:p>
    <w:p w14:paraId="22398501">
      <w:pPr>
        <w:jc w:val="both"/>
        <w:rPr>
          <w:rFonts w:hint="default" w:ascii="Adobe Arabic" w:hAnsi="Adobe Arabic" w:cs="Adobe Arabic"/>
          <w:b/>
          <w:bCs/>
          <w:sz w:val="22"/>
          <w:szCs w:val="22"/>
        </w:rPr>
      </w:pPr>
      <w:r>
        <w:rPr>
          <w:rFonts w:hint="default" w:ascii="Adobe Arabic" w:hAnsi="Adobe Arabic" w:cs="Adobe Arabic"/>
          <w:sz w:val="22"/>
          <w:szCs w:val="22"/>
        </w:rPr>
        <w:t>A practical architecture can be organized around four enabling pillars:</w:t>
      </w:r>
    </w:p>
    <w:p w14:paraId="13B0375B">
      <w:pPr>
        <w:pStyle w:val="35"/>
        <w:numPr>
          <w:ilvl w:val="0"/>
          <w:numId w:val="15"/>
        </w:numPr>
        <w:jc w:val="both"/>
        <w:rPr>
          <w:rFonts w:hint="default" w:ascii="Adobe Arabic" w:hAnsi="Adobe Arabic" w:cs="Adobe Arabic"/>
          <w:b/>
          <w:bCs/>
          <w:sz w:val="22"/>
          <w:szCs w:val="22"/>
        </w:rPr>
      </w:pPr>
      <w:r>
        <w:rPr>
          <w:rFonts w:hint="default" w:ascii="Adobe Arabic" w:hAnsi="Adobe Arabic" w:cs="Adobe Arabic"/>
          <w:b/>
          <w:bCs/>
          <w:sz w:val="22"/>
          <w:szCs w:val="22"/>
        </w:rPr>
        <w:t>Digital Twin</w:t>
      </w:r>
      <w:r>
        <w:rPr>
          <w:rFonts w:hint="default" w:ascii="Adobe Arabic" w:hAnsi="Adobe Arabic" w:cs="Adobe Arabic"/>
          <w:sz w:val="22"/>
          <w:szCs w:val="22"/>
        </w:rPr>
        <w:t xml:space="preserve"> – a dynamic representation of mine assets, locations, processes, and operating conditions</w:t>
      </w:r>
    </w:p>
    <w:p w14:paraId="6A48562D">
      <w:pPr>
        <w:pStyle w:val="35"/>
        <w:numPr>
          <w:ilvl w:val="0"/>
          <w:numId w:val="15"/>
        </w:numPr>
        <w:jc w:val="both"/>
        <w:rPr>
          <w:rFonts w:hint="default" w:ascii="Adobe Arabic" w:hAnsi="Adobe Arabic" w:cs="Adobe Arabic"/>
          <w:b/>
          <w:bCs/>
          <w:sz w:val="22"/>
          <w:szCs w:val="22"/>
        </w:rPr>
      </w:pPr>
      <w:r>
        <w:rPr>
          <w:rFonts w:hint="default" w:ascii="Adobe Arabic" w:hAnsi="Adobe Arabic" w:cs="Adobe Arabic"/>
          <w:b/>
          <w:bCs/>
          <w:sz w:val="22"/>
          <w:szCs w:val="22"/>
        </w:rPr>
        <w:t>Event and Integration Layer</w:t>
      </w:r>
      <w:r>
        <w:rPr>
          <w:rFonts w:hint="default" w:ascii="Adobe Arabic" w:hAnsi="Adobe Arabic" w:cs="Adobe Arabic"/>
          <w:sz w:val="22"/>
          <w:szCs w:val="22"/>
        </w:rPr>
        <w:t xml:space="preserve"> – real-time event routing, alert correlation, workflow orchestration, and interoperability</w:t>
      </w:r>
    </w:p>
    <w:p w14:paraId="741EFE6C">
      <w:pPr>
        <w:pStyle w:val="35"/>
        <w:numPr>
          <w:ilvl w:val="0"/>
          <w:numId w:val="15"/>
        </w:numPr>
        <w:jc w:val="both"/>
        <w:rPr>
          <w:rFonts w:hint="default" w:ascii="Adobe Arabic" w:hAnsi="Adobe Arabic" w:cs="Adobe Arabic"/>
          <w:b/>
          <w:bCs/>
          <w:sz w:val="22"/>
          <w:szCs w:val="22"/>
        </w:rPr>
      </w:pPr>
      <w:r>
        <w:rPr>
          <w:rFonts w:hint="default" w:ascii="Adobe Arabic" w:hAnsi="Adobe Arabic" w:cs="Adobe Arabic"/>
          <w:b/>
          <w:bCs/>
          <w:sz w:val="22"/>
          <w:szCs w:val="22"/>
        </w:rPr>
        <w:t>Edge Intelligence</w:t>
      </w:r>
      <w:r>
        <w:rPr>
          <w:rFonts w:hint="default" w:ascii="Adobe Arabic" w:hAnsi="Adobe Arabic" w:cs="Adobe Arabic"/>
          <w:sz w:val="22"/>
          <w:szCs w:val="22"/>
        </w:rPr>
        <w:t xml:space="preserve"> – local analytics and control for low-latency safety and equipment decisions, including operation during connectivity interruptions</w:t>
      </w:r>
    </w:p>
    <w:p w14:paraId="64135BA9">
      <w:pPr>
        <w:pStyle w:val="35"/>
        <w:numPr>
          <w:ilvl w:val="0"/>
          <w:numId w:val="15"/>
        </w:numPr>
        <w:jc w:val="both"/>
        <w:rPr>
          <w:rFonts w:hint="default" w:ascii="Adobe Arabic" w:hAnsi="Adobe Arabic" w:cs="Adobe Arabic"/>
          <w:b/>
          <w:bCs/>
          <w:sz w:val="22"/>
          <w:szCs w:val="22"/>
        </w:rPr>
      </w:pPr>
      <w:r>
        <w:rPr>
          <w:rFonts w:hint="default" w:ascii="Adobe Arabic" w:hAnsi="Adobe Arabic" w:cs="Adobe Arabic"/>
          <w:b/>
          <w:bCs/>
          <w:sz w:val="22"/>
          <w:szCs w:val="22"/>
        </w:rPr>
        <w:t>Cybersecurity and SOC/NOC</w:t>
      </w:r>
      <w:r>
        <w:rPr>
          <w:rFonts w:hint="default" w:ascii="Adobe Arabic" w:hAnsi="Adobe Arabic" w:cs="Adobe Arabic"/>
          <w:sz w:val="22"/>
          <w:szCs w:val="22"/>
        </w:rPr>
        <w:t xml:space="preserve"> – identity, network, device, application, and operational monitoring with centralized security and infrastructure oversight</w:t>
      </w:r>
    </w:p>
    <w:p w14:paraId="55B047EC">
      <w:pPr>
        <w:jc w:val="both"/>
        <w:rPr>
          <w:rFonts w:hint="default" w:ascii="Adobe Arabic" w:hAnsi="Adobe Arabic" w:cs="Adobe Arabic"/>
          <w:b/>
          <w:bCs/>
        </w:rPr>
      </w:pPr>
      <w:r>
        <w:rPr>
          <w:rFonts w:hint="default" w:ascii="Adobe Arabic" w:hAnsi="Adobe Arabic" w:cs="Adobe Arabic"/>
          <w:sz w:val="22"/>
          <w:szCs w:val="22"/>
        </w:rPr>
        <w:t>This integrated model helps move the mine from isolated dashboards to a common operating picture in which events can be detected, correlated, prioritized, assigned, and closed.</w:t>
      </w:r>
    </w:p>
    <w:tbl>
      <w:tblPr>
        <w:tblStyle w:val="48"/>
        <w:tblW w:w="0" w:type="auto"/>
        <w:tblInd w:w="0" w:type="dxa"/>
        <w:tblBorders>
          <w:top w:val="single" w:color="60CBF3" w:themeColor="accent4" w:themeTint="99" w:sz="4" w:space="0"/>
          <w:left w:val="single" w:color="60CBF3" w:themeColor="accent4" w:themeTint="99" w:sz="4" w:space="0"/>
          <w:bottom w:val="single" w:color="60CBF3" w:themeColor="accent4" w:themeTint="99" w:sz="4" w:space="0"/>
          <w:right w:val="single" w:color="60CBF3" w:themeColor="accent4" w:themeTint="99" w:sz="4" w:space="0"/>
          <w:insideH w:val="single" w:color="60CBF3" w:themeColor="accent4" w:themeTint="99" w:sz="4" w:space="0"/>
          <w:insideV w:val="single" w:color="60CBF3" w:themeColor="accent4" w:themeTint="99" w:sz="4" w:space="0"/>
        </w:tblBorders>
        <w:tblLayout w:type="autofit"/>
        <w:tblCellMar>
          <w:top w:w="0" w:type="dxa"/>
          <w:left w:w="108" w:type="dxa"/>
          <w:bottom w:w="0" w:type="dxa"/>
          <w:right w:w="108" w:type="dxa"/>
        </w:tblCellMar>
      </w:tblPr>
      <w:tblGrid>
        <w:gridCol w:w="1642"/>
        <w:gridCol w:w="5135"/>
      </w:tblGrid>
      <w:tr w14:paraId="3807C988">
        <w:tblPrEx>
          <w:tblBorders>
            <w:top w:val="single" w:color="60CBF3" w:themeColor="accent4" w:themeTint="99" w:sz="4" w:space="0"/>
            <w:left w:val="single" w:color="60CBF3" w:themeColor="accent4" w:themeTint="99" w:sz="4" w:space="0"/>
            <w:bottom w:val="single" w:color="60CBF3" w:themeColor="accent4" w:themeTint="99" w:sz="4" w:space="0"/>
            <w:right w:val="single" w:color="60CBF3" w:themeColor="accent4" w:themeTint="99" w:sz="4" w:space="0"/>
            <w:insideH w:val="single" w:color="60CBF3" w:themeColor="accent4" w:themeTint="99" w:sz="4" w:space="0"/>
            <w:insideV w:val="single" w:color="60CBF3" w:themeColor="accent4" w:themeTint="99" w:sz="4" w:space="0"/>
          </w:tblBorders>
          <w:tblCellMar>
            <w:top w:w="0" w:type="dxa"/>
            <w:left w:w="108" w:type="dxa"/>
            <w:bottom w:w="0" w:type="dxa"/>
            <w:right w:w="108" w:type="dxa"/>
          </w:tblCellMar>
        </w:tblPrEx>
        <w:tc>
          <w:tcPr>
            <w:tcW w:w="0" w:type="auto"/>
            <w:tcBorders>
              <w:top w:val="single" w:color="0F9ED5" w:themeColor="accent4" w:sz="4" w:space="0"/>
              <w:left w:val="single" w:color="0F9ED5" w:themeColor="accent4" w:sz="4" w:space="0"/>
              <w:bottom w:val="single" w:color="0F9ED5" w:themeColor="accent4" w:sz="4" w:space="0"/>
              <w:right w:val="nil"/>
              <w:insideH w:val="single" w:sz="4" w:space="0"/>
              <w:insideV w:val="nil"/>
            </w:tcBorders>
            <w:shd w:val="clear" w:color="auto" w:fill="0F9ED5" w:themeFill="accent4"/>
          </w:tcPr>
          <w:p w14:paraId="17116094">
            <w:pPr>
              <w:spacing w:after="0" w:line="240" w:lineRule="auto"/>
              <w:rPr>
                <w:rFonts w:hint="default" w:ascii="Adobe Arabic" w:hAnsi="Adobe Arabic" w:cs="Adobe Arabic"/>
                <w:b w:val="0"/>
                <w:bCs w:val="0"/>
                <w:color w:val="FFFFFF" w:themeColor="background1"/>
                <w:sz w:val="22"/>
                <w:szCs w:val="22"/>
                <w14:textFill>
                  <w14:solidFill>
                    <w14:schemeClr w14:val="bg1"/>
                  </w14:solidFill>
                </w14:textFill>
              </w:rPr>
            </w:pPr>
            <w:r>
              <w:rPr>
                <w:rFonts w:hint="default" w:ascii="Adobe Arabic" w:hAnsi="Adobe Arabic" w:cs="Adobe Arabic"/>
                <w:b/>
                <w:bCs/>
                <w:color w:val="FFFFFF" w:themeColor="background1"/>
                <w:sz w:val="22"/>
                <w:szCs w:val="22"/>
                <w14:textFill>
                  <w14:solidFill>
                    <w14:schemeClr w14:val="bg1"/>
                  </w14:solidFill>
                </w14:textFill>
              </w:rPr>
              <w:t>Stakeholder</w:t>
            </w:r>
          </w:p>
        </w:tc>
        <w:tc>
          <w:tcPr>
            <w:tcW w:w="0" w:type="auto"/>
            <w:tcBorders>
              <w:top w:val="single" w:color="0F9ED5" w:themeColor="accent4" w:sz="4" w:space="0"/>
              <w:bottom w:val="single" w:color="0F9ED5" w:themeColor="accent4" w:sz="4" w:space="0"/>
              <w:right w:val="single" w:color="0F9ED5" w:themeColor="accent4" w:sz="4" w:space="0"/>
              <w:insideH w:val="single" w:sz="4" w:space="0"/>
              <w:insideV w:val="nil"/>
            </w:tcBorders>
            <w:shd w:val="clear" w:color="auto" w:fill="0F9ED5" w:themeFill="accent4"/>
          </w:tcPr>
          <w:p w14:paraId="10B2D7A7">
            <w:pPr>
              <w:spacing w:after="0" w:line="240" w:lineRule="auto"/>
              <w:rPr>
                <w:rFonts w:hint="default" w:ascii="Adobe Arabic" w:hAnsi="Adobe Arabic" w:cs="Adobe Arabic"/>
                <w:b w:val="0"/>
                <w:bCs w:val="0"/>
                <w:color w:val="FFFFFF" w:themeColor="background1"/>
                <w:sz w:val="22"/>
                <w:szCs w:val="22"/>
                <w14:textFill>
                  <w14:solidFill>
                    <w14:schemeClr w14:val="bg1"/>
                  </w14:solidFill>
                </w14:textFill>
              </w:rPr>
            </w:pPr>
            <w:r>
              <w:rPr>
                <w:rFonts w:hint="default" w:ascii="Adobe Arabic" w:hAnsi="Adobe Arabic" w:cs="Adobe Arabic"/>
                <w:b/>
                <w:bCs/>
                <w:color w:val="FFFFFF" w:themeColor="background1"/>
                <w:sz w:val="22"/>
                <w:szCs w:val="22"/>
                <w14:textFill>
                  <w14:solidFill>
                    <w14:schemeClr w14:val="bg1"/>
                  </w14:solidFill>
                </w14:textFill>
              </w:rPr>
              <w:t>IoT Benefits</w:t>
            </w:r>
          </w:p>
        </w:tc>
      </w:tr>
      <w:tr w14:paraId="7723BDE4">
        <w:tblPrEx>
          <w:tblBorders>
            <w:top w:val="single" w:color="60CBF3" w:themeColor="accent4" w:themeTint="99" w:sz="4" w:space="0"/>
            <w:left w:val="single" w:color="60CBF3" w:themeColor="accent4" w:themeTint="99" w:sz="4" w:space="0"/>
            <w:bottom w:val="single" w:color="60CBF3" w:themeColor="accent4" w:themeTint="99" w:sz="4" w:space="0"/>
            <w:right w:val="single" w:color="60CBF3" w:themeColor="accent4" w:themeTint="99" w:sz="4" w:space="0"/>
            <w:insideH w:val="single" w:color="60CBF3" w:themeColor="accent4" w:themeTint="99" w:sz="4" w:space="0"/>
            <w:insideV w:val="single" w:color="60CBF3" w:themeColor="accent4" w:themeTint="99" w:sz="4" w:space="0"/>
          </w:tblBorders>
          <w:tblCellMar>
            <w:top w:w="0" w:type="dxa"/>
            <w:left w:w="108" w:type="dxa"/>
            <w:bottom w:w="0" w:type="dxa"/>
            <w:right w:w="108" w:type="dxa"/>
          </w:tblCellMar>
        </w:tblPrEx>
        <w:tc>
          <w:tcPr>
            <w:tcW w:w="0" w:type="auto"/>
            <w:shd w:val="clear" w:color="auto" w:fill="CAEDFB" w:themeFill="accent4" w:themeFillTint="33"/>
          </w:tcPr>
          <w:p w14:paraId="1DCB3229">
            <w:pPr>
              <w:spacing w:after="0" w:line="240" w:lineRule="auto"/>
              <w:rPr>
                <w:rFonts w:hint="default" w:ascii="Adobe Arabic" w:hAnsi="Adobe Arabic" w:cs="Adobe Arabic"/>
                <w:b/>
                <w:bCs/>
                <w:sz w:val="22"/>
                <w:szCs w:val="22"/>
              </w:rPr>
            </w:pPr>
            <w:r>
              <w:rPr>
                <w:rFonts w:hint="default" w:ascii="Adobe Arabic" w:hAnsi="Adobe Arabic" w:cs="Adobe Arabic"/>
                <w:b/>
                <w:bCs/>
                <w:sz w:val="22"/>
                <w:szCs w:val="22"/>
              </w:rPr>
              <w:t>Operations Leaders</w:t>
            </w:r>
          </w:p>
        </w:tc>
        <w:tc>
          <w:tcPr>
            <w:tcW w:w="0" w:type="auto"/>
            <w:shd w:val="clear" w:color="auto" w:fill="CAEDFB" w:themeFill="accent4" w:themeFillTint="33"/>
          </w:tcPr>
          <w:p w14:paraId="17501AE0">
            <w:pPr>
              <w:spacing w:after="0" w:line="240" w:lineRule="auto"/>
              <w:jc w:val="both"/>
              <w:rPr>
                <w:rFonts w:hint="default" w:ascii="Adobe Arabic" w:hAnsi="Adobe Arabic" w:cs="Adobe Arabic"/>
                <w:sz w:val="22"/>
                <w:szCs w:val="22"/>
              </w:rPr>
            </w:pPr>
            <w:r>
              <w:rPr>
                <w:rFonts w:hint="default" w:ascii="Adobe Arabic" w:hAnsi="Adobe Arabic" w:cs="Adobe Arabic"/>
                <w:sz w:val="22"/>
                <w:szCs w:val="22"/>
              </w:rPr>
              <w:t>Real-time visibility, throughput optimization, productivity improvement</w:t>
            </w:r>
          </w:p>
        </w:tc>
      </w:tr>
      <w:tr w14:paraId="346D90EB">
        <w:tblPrEx>
          <w:tblBorders>
            <w:top w:val="single" w:color="60CBF3" w:themeColor="accent4" w:themeTint="99" w:sz="4" w:space="0"/>
            <w:left w:val="single" w:color="60CBF3" w:themeColor="accent4" w:themeTint="99" w:sz="4" w:space="0"/>
            <w:bottom w:val="single" w:color="60CBF3" w:themeColor="accent4" w:themeTint="99" w:sz="4" w:space="0"/>
            <w:right w:val="single" w:color="60CBF3" w:themeColor="accent4" w:themeTint="99" w:sz="4" w:space="0"/>
            <w:insideH w:val="single" w:color="60CBF3" w:themeColor="accent4" w:themeTint="99" w:sz="4" w:space="0"/>
            <w:insideV w:val="single" w:color="60CBF3" w:themeColor="accent4" w:themeTint="99" w:sz="4" w:space="0"/>
          </w:tblBorders>
          <w:tblCellMar>
            <w:top w:w="0" w:type="dxa"/>
            <w:left w:w="108" w:type="dxa"/>
            <w:bottom w:w="0" w:type="dxa"/>
            <w:right w:w="108" w:type="dxa"/>
          </w:tblCellMar>
        </w:tblPrEx>
        <w:tc>
          <w:tcPr>
            <w:tcW w:w="0" w:type="auto"/>
          </w:tcPr>
          <w:p w14:paraId="3138CEB6">
            <w:pPr>
              <w:spacing w:after="0" w:line="240" w:lineRule="auto"/>
              <w:rPr>
                <w:rFonts w:hint="default" w:ascii="Adobe Arabic" w:hAnsi="Adobe Arabic" w:cs="Adobe Arabic"/>
                <w:b/>
                <w:bCs/>
                <w:sz w:val="22"/>
                <w:szCs w:val="22"/>
              </w:rPr>
            </w:pPr>
            <w:r>
              <w:rPr>
                <w:rFonts w:hint="default" w:ascii="Adobe Arabic" w:hAnsi="Adobe Arabic" w:cs="Adobe Arabic"/>
                <w:b/>
                <w:bCs/>
                <w:sz w:val="22"/>
                <w:szCs w:val="22"/>
              </w:rPr>
              <w:t>Maintenance Teams</w:t>
            </w:r>
          </w:p>
        </w:tc>
        <w:tc>
          <w:tcPr>
            <w:tcW w:w="0" w:type="auto"/>
          </w:tcPr>
          <w:p w14:paraId="6B5EF1C2">
            <w:pPr>
              <w:spacing w:after="0" w:line="240" w:lineRule="auto"/>
              <w:jc w:val="both"/>
              <w:rPr>
                <w:rFonts w:hint="default" w:ascii="Adobe Arabic" w:hAnsi="Adobe Arabic" w:cs="Adobe Arabic"/>
                <w:sz w:val="22"/>
                <w:szCs w:val="22"/>
              </w:rPr>
            </w:pPr>
            <w:r>
              <w:rPr>
                <w:rFonts w:hint="default" w:ascii="Adobe Arabic" w:hAnsi="Adobe Arabic" w:cs="Adobe Arabic"/>
                <w:sz w:val="22"/>
                <w:szCs w:val="22"/>
              </w:rPr>
              <w:t>Predictive maintenance, reduced downtime, lower repair costs</w:t>
            </w:r>
          </w:p>
        </w:tc>
      </w:tr>
      <w:tr w14:paraId="184E65D6">
        <w:tblPrEx>
          <w:tblBorders>
            <w:top w:val="single" w:color="60CBF3" w:themeColor="accent4" w:themeTint="99" w:sz="4" w:space="0"/>
            <w:left w:val="single" w:color="60CBF3" w:themeColor="accent4" w:themeTint="99" w:sz="4" w:space="0"/>
            <w:bottom w:val="single" w:color="60CBF3" w:themeColor="accent4" w:themeTint="99" w:sz="4" w:space="0"/>
            <w:right w:val="single" w:color="60CBF3" w:themeColor="accent4" w:themeTint="99" w:sz="4" w:space="0"/>
            <w:insideH w:val="single" w:color="60CBF3" w:themeColor="accent4" w:themeTint="99" w:sz="4" w:space="0"/>
            <w:insideV w:val="single" w:color="60CBF3" w:themeColor="accent4" w:themeTint="99" w:sz="4" w:space="0"/>
          </w:tblBorders>
          <w:tblCellMar>
            <w:top w:w="0" w:type="dxa"/>
            <w:left w:w="108" w:type="dxa"/>
            <w:bottom w:w="0" w:type="dxa"/>
            <w:right w:w="108" w:type="dxa"/>
          </w:tblCellMar>
        </w:tblPrEx>
        <w:tc>
          <w:tcPr>
            <w:tcW w:w="0" w:type="auto"/>
            <w:shd w:val="clear" w:color="auto" w:fill="CAEDFB" w:themeFill="accent4" w:themeFillTint="33"/>
          </w:tcPr>
          <w:p w14:paraId="6A5D6182">
            <w:pPr>
              <w:spacing w:after="0" w:line="240" w:lineRule="auto"/>
              <w:rPr>
                <w:rFonts w:hint="default" w:ascii="Adobe Arabic" w:hAnsi="Adobe Arabic" w:cs="Adobe Arabic"/>
                <w:b/>
                <w:bCs/>
                <w:sz w:val="22"/>
                <w:szCs w:val="22"/>
              </w:rPr>
            </w:pPr>
            <w:r>
              <w:rPr>
                <w:rFonts w:hint="default" w:ascii="Adobe Arabic" w:hAnsi="Adobe Arabic" w:cs="Adobe Arabic"/>
                <w:b/>
                <w:bCs/>
                <w:sz w:val="22"/>
                <w:szCs w:val="22"/>
              </w:rPr>
              <w:t>Safety Leaders</w:t>
            </w:r>
          </w:p>
        </w:tc>
        <w:tc>
          <w:tcPr>
            <w:tcW w:w="0" w:type="auto"/>
            <w:shd w:val="clear" w:color="auto" w:fill="CAEDFB" w:themeFill="accent4" w:themeFillTint="33"/>
          </w:tcPr>
          <w:p w14:paraId="1B72A5C6">
            <w:pPr>
              <w:spacing w:after="0" w:line="240" w:lineRule="auto"/>
              <w:jc w:val="both"/>
              <w:rPr>
                <w:rFonts w:hint="default" w:ascii="Adobe Arabic" w:hAnsi="Adobe Arabic" w:cs="Adobe Arabic"/>
                <w:sz w:val="22"/>
                <w:szCs w:val="22"/>
              </w:rPr>
            </w:pPr>
            <w:r>
              <w:rPr>
                <w:rFonts w:hint="default" w:ascii="Adobe Arabic" w:hAnsi="Adobe Arabic" w:cs="Adobe Arabic"/>
                <w:sz w:val="22"/>
                <w:szCs w:val="22"/>
              </w:rPr>
              <w:t>Incident reduction, compliance improvement, risk mitigation</w:t>
            </w:r>
          </w:p>
        </w:tc>
      </w:tr>
      <w:tr w14:paraId="537FA79F">
        <w:tblPrEx>
          <w:tblBorders>
            <w:top w:val="single" w:color="60CBF3" w:themeColor="accent4" w:themeTint="99" w:sz="4" w:space="0"/>
            <w:left w:val="single" w:color="60CBF3" w:themeColor="accent4" w:themeTint="99" w:sz="4" w:space="0"/>
            <w:bottom w:val="single" w:color="60CBF3" w:themeColor="accent4" w:themeTint="99" w:sz="4" w:space="0"/>
            <w:right w:val="single" w:color="60CBF3" w:themeColor="accent4" w:themeTint="99" w:sz="4" w:space="0"/>
            <w:insideH w:val="single" w:color="60CBF3" w:themeColor="accent4" w:themeTint="99" w:sz="4" w:space="0"/>
            <w:insideV w:val="single" w:color="60CBF3" w:themeColor="accent4" w:themeTint="99" w:sz="4" w:space="0"/>
          </w:tblBorders>
          <w:tblCellMar>
            <w:top w:w="0" w:type="dxa"/>
            <w:left w:w="108" w:type="dxa"/>
            <w:bottom w:w="0" w:type="dxa"/>
            <w:right w:w="108" w:type="dxa"/>
          </w:tblCellMar>
        </w:tblPrEx>
        <w:tc>
          <w:tcPr>
            <w:tcW w:w="0" w:type="auto"/>
          </w:tcPr>
          <w:p w14:paraId="12A59278">
            <w:pPr>
              <w:spacing w:after="0" w:line="240" w:lineRule="auto"/>
              <w:rPr>
                <w:rFonts w:hint="default" w:ascii="Adobe Arabic" w:hAnsi="Adobe Arabic" w:cs="Adobe Arabic"/>
                <w:b/>
                <w:bCs/>
                <w:sz w:val="22"/>
                <w:szCs w:val="22"/>
              </w:rPr>
            </w:pPr>
            <w:r>
              <w:rPr>
                <w:rFonts w:hint="default" w:ascii="Adobe Arabic" w:hAnsi="Adobe Arabic" w:cs="Adobe Arabic"/>
                <w:b/>
                <w:bCs/>
                <w:sz w:val="22"/>
                <w:szCs w:val="22"/>
              </w:rPr>
              <w:t>Workforce</w:t>
            </w:r>
          </w:p>
        </w:tc>
        <w:tc>
          <w:tcPr>
            <w:tcW w:w="0" w:type="auto"/>
          </w:tcPr>
          <w:p w14:paraId="74F0C342">
            <w:pPr>
              <w:spacing w:after="0" w:line="240" w:lineRule="auto"/>
              <w:jc w:val="both"/>
              <w:rPr>
                <w:rFonts w:hint="default" w:ascii="Adobe Arabic" w:hAnsi="Adobe Arabic" w:cs="Adobe Arabic"/>
                <w:sz w:val="22"/>
                <w:szCs w:val="22"/>
              </w:rPr>
            </w:pPr>
            <w:r>
              <w:rPr>
                <w:rFonts w:hint="default" w:ascii="Adobe Arabic" w:hAnsi="Adobe Arabic" w:cs="Adobe Arabic"/>
                <w:sz w:val="22"/>
                <w:szCs w:val="22"/>
              </w:rPr>
              <w:t>Improved safety, health monitoring, faster emergency response</w:t>
            </w:r>
          </w:p>
        </w:tc>
      </w:tr>
      <w:tr w14:paraId="3090E25C">
        <w:tblPrEx>
          <w:tblBorders>
            <w:top w:val="single" w:color="60CBF3" w:themeColor="accent4" w:themeTint="99" w:sz="4" w:space="0"/>
            <w:left w:val="single" w:color="60CBF3" w:themeColor="accent4" w:themeTint="99" w:sz="4" w:space="0"/>
            <w:bottom w:val="single" w:color="60CBF3" w:themeColor="accent4" w:themeTint="99" w:sz="4" w:space="0"/>
            <w:right w:val="single" w:color="60CBF3" w:themeColor="accent4" w:themeTint="99" w:sz="4" w:space="0"/>
            <w:insideH w:val="single" w:color="60CBF3" w:themeColor="accent4" w:themeTint="99" w:sz="4" w:space="0"/>
            <w:insideV w:val="single" w:color="60CBF3" w:themeColor="accent4" w:themeTint="99" w:sz="4" w:space="0"/>
          </w:tblBorders>
          <w:tblCellMar>
            <w:top w:w="0" w:type="dxa"/>
            <w:left w:w="108" w:type="dxa"/>
            <w:bottom w:w="0" w:type="dxa"/>
            <w:right w:w="108" w:type="dxa"/>
          </w:tblCellMar>
        </w:tblPrEx>
        <w:tc>
          <w:tcPr>
            <w:tcW w:w="0" w:type="auto"/>
            <w:shd w:val="clear" w:color="auto" w:fill="CAEDFB" w:themeFill="accent4" w:themeFillTint="33"/>
          </w:tcPr>
          <w:p w14:paraId="634E6749">
            <w:pPr>
              <w:spacing w:after="0" w:line="240" w:lineRule="auto"/>
              <w:rPr>
                <w:rFonts w:hint="default" w:ascii="Adobe Arabic" w:hAnsi="Adobe Arabic" w:cs="Adobe Arabic"/>
                <w:b/>
                <w:bCs/>
                <w:sz w:val="22"/>
                <w:szCs w:val="22"/>
              </w:rPr>
            </w:pPr>
            <w:r>
              <w:rPr>
                <w:rFonts w:hint="default" w:ascii="Adobe Arabic" w:hAnsi="Adobe Arabic" w:cs="Adobe Arabic"/>
                <w:b/>
                <w:bCs/>
                <w:sz w:val="22"/>
                <w:szCs w:val="22"/>
              </w:rPr>
              <w:t>Supply Chain Teams</w:t>
            </w:r>
          </w:p>
        </w:tc>
        <w:tc>
          <w:tcPr>
            <w:tcW w:w="0" w:type="auto"/>
            <w:shd w:val="clear" w:color="auto" w:fill="CAEDFB" w:themeFill="accent4" w:themeFillTint="33"/>
          </w:tcPr>
          <w:p w14:paraId="51DD4445">
            <w:pPr>
              <w:spacing w:after="0" w:line="240" w:lineRule="auto"/>
              <w:jc w:val="both"/>
              <w:rPr>
                <w:rFonts w:hint="default" w:ascii="Adobe Arabic" w:hAnsi="Adobe Arabic" w:cs="Adobe Arabic"/>
                <w:sz w:val="22"/>
                <w:szCs w:val="22"/>
              </w:rPr>
            </w:pPr>
            <w:r>
              <w:rPr>
                <w:rFonts w:hint="default" w:ascii="Adobe Arabic" w:hAnsi="Adobe Arabic" w:cs="Adobe Arabic"/>
                <w:sz w:val="22"/>
                <w:szCs w:val="22"/>
              </w:rPr>
              <w:t>Material traceability, inventory visibility, logistics optimization</w:t>
            </w:r>
          </w:p>
        </w:tc>
      </w:tr>
      <w:tr w14:paraId="16EC4D3D">
        <w:tblPrEx>
          <w:tblBorders>
            <w:top w:val="single" w:color="60CBF3" w:themeColor="accent4" w:themeTint="99" w:sz="4" w:space="0"/>
            <w:left w:val="single" w:color="60CBF3" w:themeColor="accent4" w:themeTint="99" w:sz="4" w:space="0"/>
            <w:bottom w:val="single" w:color="60CBF3" w:themeColor="accent4" w:themeTint="99" w:sz="4" w:space="0"/>
            <w:right w:val="single" w:color="60CBF3" w:themeColor="accent4" w:themeTint="99" w:sz="4" w:space="0"/>
            <w:insideH w:val="single" w:color="60CBF3" w:themeColor="accent4" w:themeTint="99" w:sz="4" w:space="0"/>
            <w:insideV w:val="single" w:color="60CBF3" w:themeColor="accent4" w:themeTint="99" w:sz="4" w:space="0"/>
          </w:tblBorders>
          <w:tblCellMar>
            <w:top w:w="0" w:type="dxa"/>
            <w:left w:w="108" w:type="dxa"/>
            <w:bottom w:w="0" w:type="dxa"/>
            <w:right w:w="108" w:type="dxa"/>
          </w:tblCellMar>
        </w:tblPrEx>
        <w:tc>
          <w:tcPr>
            <w:tcW w:w="0" w:type="auto"/>
          </w:tcPr>
          <w:p w14:paraId="4148AE5A">
            <w:pPr>
              <w:spacing w:after="0" w:line="240" w:lineRule="auto"/>
              <w:rPr>
                <w:rFonts w:hint="default" w:ascii="Adobe Arabic" w:hAnsi="Adobe Arabic" w:cs="Adobe Arabic"/>
                <w:b/>
                <w:bCs/>
                <w:sz w:val="22"/>
                <w:szCs w:val="22"/>
              </w:rPr>
            </w:pPr>
            <w:r>
              <w:rPr>
                <w:rFonts w:hint="default" w:ascii="Adobe Arabic" w:hAnsi="Adobe Arabic" w:cs="Adobe Arabic"/>
                <w:b/>
                <w:bCs/>
                <w:sz w:val="22"/>
                <w:szCs w:val="22"/>
              </w:rPr>
              <w:t>Executive Leadership</w:t>
            </w:r>
          </w:p>
        </w:tc>
        <w:tc>
          <w:tcPr>
            <w:tcW w:w="0" w:type="auto"/>
          </w:tcPr>
          <w:p w14:paraId="1C557EC0">
            <w:pPr>
              <w:spacing w:after="0" w:line="240" w:lineRule="auto"/>
              <w:jc w:val="both"/>
              <w:rPr>
                <w:rFonts w:hint="default" w:ascii="Adobe Arabic" w:hAnsi="Adobe Arabic" w:cs="Adobe Arabic"/>
                <w:sz w:val="22"/>
                <w:szCs w:val="22"/>
              </w:rPr>
            </w:pPr>
            <w:r>
              <w:rPr>
                <w:rFonts w:hint="default" w:ascii="Adobe Arabic" w:hAnsi="Adobe Arabic" w:cs="Adobe Arabic"/>
                <w:sz w:val="22"/>
                <w:szCs w:val="22"/>
              </w:rPr>
              <w:t>Higher asset utilization, lower operating costs, improved ESG performance</w:t>
            </w:r>
          </w:p>
        </w:tc>
      </w:tr>
      <w:tr w14:paraId="17BC5DA8">
        <w:tblPrEx>
          <w:tblBorders>
            <w:top w:val="single" w:color="60CBF3" w:themeColor="accent4" w:themeTint="99" w:sz="4" w:space="0"/>
            <w:left w:val="single" w:color="60CBF3" w:themeColor="accent4" w:themeTint="99" w:sz="4" w:space="0"/>
            <w:bottom w:val="single" w:color="60CBF3" w:themeColor="accent4" w:themeTint="99" w:sz="4" w:space="0"/>
            <w:right w:val="single" w:color="60CBF3" w:themeColor="accent4" w:themeTint="99" w:sz="4" w:space="0"/>
            <w:insideH w:val="single" w:color="60CBF3" w:themeColor="accent4" w:themeTint="99" w:sz="4" w:space="0"/>
            <w:insideV w:val="single" w:color="60CBF3" w:themeColor="accent4" w:themeTint="99" w:sz="4" w:space="0"/>
          </w:tblBorders>
          <w:tblCellMar>
            <w:top w:w="0" w:type="dxa"/>
            <w:left w:w="108" w:type="dxa"/>
            <w:bottom w:w="0" w:type="dxa"/>
            <w:right w:w="108" w:type="dxa"/>
          </w:tblCellMar>
        </w:tblPrEx>
        <w:tc>
          <w:tcPr>
            <w:tcW w:w="0" w:type="auto"/>
            <w:shd w:val="clear" w:color="auto" w:fill="CAEDFB" w:themeFill="accent4" w:themeFillTint="33"/>
          </w:tcPr>
          <w:p w14:paraId="025BED90">
            <w:pPr>
              <w:spacing w:after="0" w:line="240" w:lineRule="auto"/>
              <w:rPr>
                <w:rFonts w:hint="default" w:ascii="Adobe Arabic" w:hAnsi="Adobe Arabic" w:cs="Adobe Arabic"/>
                <w:b/>
                <w:bCs/>
                <w:sz w:val="22"/>
                <w:szCs w:val="22"/>
              </w:rPr>
            </w:pPr>
            <w:r>
              <w:rPr>
                <w:rFonts w:hint="default" w:ascii="Adobe Arabic" w:hAnsi="Adobe Arabic" w:cs="Adobe Arabic"/>
                <w:b/>
                <w:bCs/>
                <w:sz w:val="22"/>
                <w:szCs w:val="22"/>
              </w:rPr>
              <w:t>Shareholders</w:t>
            </w:r>
          </w:p>
        </w:tc>
        <w:tc>
          <w:tcPr>
            <w:tcW w:w="0" w:type="auto"/>
            <w:shd w:val="clear" w:color="auto" w:fill="CAEDFB" w:themeFill="accent4" w:themeFillTint="33"/>
          </w:tcPr>
          <w:p w14:paraId="1BB55CF8">
            <w:pPr>
              <w:spacing w:after="0" w:line="240" w:lineRule="auto"/>
              <w:jc w:val="both"/>
              <w:rPr>
                <w:rFonts w:hint="default" w:ascii="Adobe Arabic" w:hAnsi="Adobe Arabic" w:cs="Adobe Arabic"/>
                <w:sz w:val="22"/>
                <w:szCs w:val="22"/>
              </w:rPr>
            </w:pPr>
            <w:r>
              <w:rPr>
                <w:rFonts w:hint="default" w:ascii="Adobe Arabic" w:hAnsi="Adobe Arabic" w:cs="Adobe Arabic"/>
                <w:sz w:val="22"/>
                <w:szCs w:val="22"/>
              </w:rPr>
              <w:t>Enhanced profitability, operational resilience, improved ROI</w:t>
            </w:r>
          </w:p>
        </w:tc>
      </w:tr>
    </w:tbl>
    <w:p w14:paraId="3061AC0E">
      <w:pPr>
        <w:rPr>
          <w:rFonts w:hint="default" w:ascii="Adobe Arabic" w:hAnsi="Adobe Arabic" w:cs="Adobe Arabic"/>
        </w:rPr>
      </w:pPr>
    </w:p>
    <w:p w14:paraId="2E126D81">
      <w:pPr>
        <w:rPr>
          <w:rFonts w:hint="default" w:ascii="Adobe Arabic" w:hAnsi="Adobe Arabic" w:cs="Adobe Arabic"/>
          <w:b/>
          <w:bCs/>
        </w:rPr>
      </w:pPr>
      <w:r>
        <w:rPr>
          <w:rFonts w:hint="default" w:ascii="Adobe Arabic" w:hAnsi="Adobe Arabic" w:cs="Adobe Arabic"/>
          <w:b/>
          <w:bCs/>
          <w:color w:val="0070C0"/>
        </w:rPr>
        <w:t>Future Vision: The Connected Autonomous Mine</w:t>
      </w:r>
    </w:p>
    <w:p w14:paraId="13FFAE3B">
      <w:pPr>
        <w:jc w:val="both"/>
        <w:rPr>
          <w:rFonts w:hint="default" w:ascii="Adobe Arabic" w:hAnsi="Adobe Arabic" w:cs="Adobe Arabic"/>
          <w:sz w:val="22"/>
          <w:szCs w:val="22"/>
        </w:rPr>
      </w:pPr>
      <w:r>
        <w:rPr>
          <w:rFonts w:hint="default" w:ascii="Adobe Arabic" w:hAnsi="Adobe Arabic" w:cs="Adobe Arabic"/>
          <w:sz w:val="22"/>
          <w:szCs w:val="22"/>
        </w:rPr>
        <w:t>The future mining enterprise will be characterized by:</w:t>
      </w:r>
    </w:p>
    <w:p w14:paraId="4CF4DD3F">
      <w:pPr>
        <w:jc w:val="both"/>
        <w:rPr>
          <w:rFonts w:hint="default" w:ascii="Adobe Arabic" w:hAnsi="Adobe Arabic" w:cs="Adobe Arabic"/>
          <w:sz w:val="22"/>
          <w:szCs w:val="22"/>
        </w:rPr>
      </w:pPr>
      <w:r>
        <w:rPr>
          <w:rFonts w:hint="default" w:ascii="Adobe Arabic" w:hAnsi="Adobe Arabic" w:cs="Adobe Arabic"/>
          <w:sz w:val="22"/>
          <w:szCs w:val="22"/>
        </w:rPr>
        <w:t>The connected autonomous mine should be viewed as a progressive maturity journey rather than a single technology deployment. Connectivity and visibility establish the foundation; analytics and predictive capabilities build intelligence; integrated command centres enable coordinated action; and autonomous systems can then be introduced where operational, safety, and regulatory conditions support them.</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827"/>
        <w:gridCol w:w="5415"/>
      </w:tblGrid>
      <w:tr w14:paraId="26298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08" w:type="dxa"/>
          </w:tcPr>
          <w:p w14:paraId="737739B5">
            <w:pPr>
              <w:pStyle w:val="35"/>
              <w:numPr>
                <w:ilvl w:val="0"/>
                <w:numId w:val="2"/>
              </w:numPr>
              <w:spacing w:after="0" w:line="240" w:lineRule="auto"/>
              <w:rPr>
                <w:rFonts w:hint="default" w:ascii="Adobe Arabic" w:hAnsi="Adobe Arabic" w:cs="Adobe Arabic"/>
                <w:sz w:val="20"/>
                <w:szCs w:val="20"/>
              </w:rPr>
            </w:pPr>
            <w:r>
              <w:rPr>
                <w:rFonts w:hint="default" w:ascii="Adobe Arabic" w:hAnsi="Adobe Arabic" w:cs="Adobe Arabic"/>
                <w:sz w:val="20"/>
                <w:szCs w:val="20"/>
              </w:rPr>
              <w:t>Fully connected equipment fleets</w:t>
            </w:r>
          </w:p>
          <w:p w14:paraId="3FEDC034">
            <w:pPr>
              <w:pStyle w:val="35"/>
              <w:numPr>
                <w:ilvl w:val="0"/>
                <w:numId w:val="2"/>
              </w:numPr>
              <w:spacing w:after="0" w:line="240" w:lineRule="auto"/>
              <w:rPr>
                <w:rFonts w:hint="default" w:ascii="Adobe Arabic" w:hAnsi="Adobe Arabic" w:cs="Adobe Arabic"/>
                <w:sz w:val="20"/>
                <w:szCs w:val="20"/>
              </w:rPr>
            </w:pPr>
            <w:r>
              <w:rPr>
                <w:rFonts w:hint="default" w:ascii="Adobe Arabic" w:hAnsi="Adobe Arabic" w:cs="Adobe Arabic"/>
                <w:sz w:val="20"/>
                <w:szCs w:val="20"/>
              </w:rPr>
              <w:t>Autonomous mobile equipment</w:t>
            </w:r>
          </w:p>
          <w:p w14:paraId="1EF350A7">
            <w:pPr>
              <w:pStyle w:val="35"/>
              <w:numPr>
                <w:ilvl w:val="0"/>
                <w:numId w:val="2"/>
              </w:numPr>
              <w:spacing w:after="0" w:line="240" w:lineRule="auto"/>
              <w:rPr>
                <w:rFonts w:hint="default" w:ascii="Adobe Arabic" w:hAnsi="Adobe Arabic" w:cs="Adobe Arabic"/>
                <w:sz w:val="20"/>
                <w:szCs w:val="20"/>
              </w:rPr>
            </w:pPr>
            <w:r>
              <w:rPr>
                <w:rFonts w:hint="default" w:ascii="Adobe Arabic" w:hAnsi="Adobe Arabic" w:cs="Adobe Arabic"/>
                <w:sz w:val="20"/>
                <w:szCs w:val="20"/>
              </w:rPr>
              <w:t>Digital twins of mining operations</w:t>
            </w:r>
          </w:p>
          <w:p w14:paraId="7769CE43">
            <w:pPr>
              <w:pStyle w:val="35"/>
              <w:numPr>
                <w:ilvl w:val="0"/>
                <w:numId w:val="2"/>
              </w:numPr>
              <w:spacing w:after="0" w:line="240" w:lineRule="auto"/>
              <w:rPr>
                <w:rFonts w:hint="default" w:ascii="Adobe Arabic" w:hAnsi="Adobe Arabic" w:cs="Adobe Arabic"/>
                <w:sz w:val="20"/>
                <w:szCs w:val="20"/>
              </w:rPr>
            </w:pPr>
            <w:r>
              <w:rPr>
                <w:rFonts w:hint="default" w:ascii="Adobe Arabic" w:hAnsi="Adobe Arabic" w:cs="Adobe Arabic"/>
                <w:sz w:val="20"/>
                <w:szCs w:val="20"/>
              </w:rPr>
              <w:t>AI-driven decision support</w:t>
            </w:r>
          </w:p>
          <w:p w14:paraId="311AD800">
            <w:pPr>
              <w:pStyle w:val="35"/>
              <w:numPr>
                <w:ilvl w:val="0"/>
                <w:numId w:val="2"/>
              </w:numPr>
              <w:spacing w:after="0" w:line="240" w:lineRule="auto"/>
              <w:rPr>
                <w:rFonts w:hint="default" w:ascii="Adobe Arabic" w:hAnsi="Adobe Arabic" w:cs="Adobe Arabic"/>
                <w:sz w:val="20"/>
                <w:szCs w:val="20"/>
              </w:rPr>
            </w:pPr>
            <w:r>
              <w:rPr>
                <w:rFonts w:hint="default" w:ascii="Adobe Arabic" w:hAnsi="Adobe Arabic" w:cs="Adobe Arabic"/>
                <w:sz w:val="20"/>
                <w:szCs w:val="20"/>
              </w:rPr>
              <w:t>Continuous worker safety monitoring</w:t>
            </w:r>
          </w:p>
          <w:p w14:paraId="6DDD54FC">
            <w:pPr>
              <w:pStyle w:val="35"/>
              <w:numPr>
                <w:ilvl w:val="0"/>
                <w:numId w:val="2"/>
              </w:numPr>
              <w:spacing w:after="0" w:line="240" w:lineRule="auto"/>
              <w:ind w:left="357" w:hanging="357"/>
              <w:rPr>
                <w:rFonts w:hint="default" w:ascii="Adobe Arabic" w:hAnsi="Adobe Arabic" w:cs="Adobe Arabic"/>
                <w:sz w:val="20"/>
                <w:szCs w:val="20"/>
              </w:rPr>
            </w:pPr>
            <w:r>
              <w:rPr>
                <w:rFonts w:hint="default" w:ascii="Adobe Arabic" w:hAnsi="Adobe Arabic" w:cs="Adobe Arabic"/>
                <w:sz w:val="20"/>
                <w:szCs w:val="20"/>
              </w:rPr>
              <w:t>Predictive maintenance at scale</w:t>
            </w:r>
          </w:p>
          <w:p w14:paraId="5F123158">
            <w:pPr>
              <w:pStyle w:val="35"/>
              <w:numPr>
                <w:ilvl w:val="0"/>
                <w:numId w:val="2"/>
              </w:numPr>
              <w:spacing w:after="0" w:line="240" w:lineRule="auto"/>
              <w:ind w:left="357" w:hanging="357"/>
              <w:rPr>
                <w:rFonts w:hint="default" w:ascii="Adobe Arabic" w:hAnsi="Adobe Arabic" w:cs="Adobe Arabic"/>
                <w:sz w:val="20"/>
                <w:szCs w:val="20"/>
              </w:rPr>
            </w:pPr>
            <w:r>
              <w:rPr>
                <w:rFonts w:hint="default" w:ascii="Adobe Arabic" w:hAnsi="Adobe Arabic" w:cs="Adobe Arabic"/>
                <w:sz w:val="20"/>
                <w:szCs w:val="20"/>
              </w:rPr>
              <w:t>Real-time production optimization</w:t>
            </w:r>
          </w:p>
          <w:p w14:paraId="57FBE917">
            <w:pPr>
              <w:pStyle w:val="35"/>
              <w:numPr>
                <w:ilvl w:val="1"/>
                <w:numId w:val="2"/>
              </w:numPr>
              <w:spacing w:after="0" w:line="240" w:lineRule="auto"/>
              <w:rPr>
                <w:rFonts w:hint="default" w:ascii="Adobe Arabic" w:hAnsi="Adobe Arabic" w:cs="Adobe Arabic"/>
                <w:sz w:val="20"/>
                <w:szCs w:val="20"/>
              </w:rPr>
            </w:pPr>
            <w:r>
              <w:rPr>
                <w:rFonts w:hint="default" w:ascii="Adobe Arabic" w:hAnsi="Adobe Arabic" w:cs="Adobe Arabic"/>
                <w:sz w:val="20"/>
                <w:szCs w:val="20"/>
              </w:rPr>
              <w:t>Integrated mine operations command centres</w:t>
            </w:r>
          </w:p>
          <w:p w14:paraId="7629F550">
            <w:pPr>
              <w:pStyle w:val="35"/>
              <w:numPr>
                <w:ilvl w:val="1"/>
                <w:numId w:val="2"/>
              </w:numPr>
              <w:spacing w:after="0" w:line="240" w:lineRule="auto"/>
              <w:rPr>
                <w:rFonts w:hint="default" w:ascii="Adobe Arabic" w:hAnsi="Adobe Arabic" w:cs="Adobe Arabic"/>
                <w:sz w:val="20"/>
                <w:szCs w:val="20"/>
              </w:rPr>
            </w:pPr>
            <w:r>
              <w:rPr>
                <w:rFonts w:hint="default" w:ascii="Adobe Arabic" w:hAnsi="Adobe Arabic" w:cs="Adobe Arabic"/>
                <w:sz w:val="20"/>
                <w:szCs w:val="20"/>
              </w:rPr>
              <w:t>Resilient edge-to-cloud architectures</w:t>
            </w:r>
          </w:p>
          <w:p w14:paraId="42B4F5B9">
            <w:pPr>
              <w:pStyle w:val="35"/>
              <w:numPr>
                <w:ilvl w:val="1"/>
                <w:numId w:val="2"/>
              </w:numPr>
              <w:spacing w:after="0" w:line="240" w:lineRule="auto"/>
              <w:rPr>
                <w:rFonts w:hint="default" w:ascii="Adobe Arabic" w:hAnsi="Adobe Arabic" w:cs="Adobe Arabic"/>
                <w:sz w:val="20"/>
                <w:szCs w:val="20"/>
              </w:rPr>
            </w:pPr>
            <w:r>
              <w:rPr>
                <w:rFonts w:hint="default" w:ascii="Adobe Arabic" w:hAnsi="Adobe Arabic" w:cs="Adobe Arabic"/>
                <w:sz w:val="20"/>
                <w:szCs w:val="20"/>
              </w:rPr>
              <w:t>Cybersecure and governed industrial data platforms</w:t>
            </w:r>
          </w:p>
          <w:p w14:paraId="26A900D1">
            <w:pPr>
              <w:spacing w:after="0" w:line="240" w:lineRule="auto"/>
              <w:jc w:val="both"/>
              <w:rPr>
                <w:rFonts w:hint="default" w:ascii="Adobe Arabic" w:hAnsi="Adobe Arabic" w:cs="Adobe Arabic"/>
                <w:sz w:val="22"/>
                <w:szCs w:val="22"/>
              </w:rPr>
            </w:pPr>
          </w:p>
        </w:tc>
        <w:tc>
          <w:tcPr>
            <w:tcW w:w="4508" w:type="dxa"/>
          </w:tcPr>
          <w:p w14:paraId="3C911D9B">
            <w:pPr>
              <w:spacing w:after="0" w:line="240" w:lineRule="auto"/>
              <w:jc w:val="both"/>
              <w:rPr>
                <w:rFonts w:hint="default" w:ascii="Adobe Arabic" w:hAnsi="Adobe Arabic" w:cs="Adobe Arabic"/>
                <w:sz w:val="22"/>
                <w:szCs w:val="22"/>
              </w:rPr>
            </w:pPr>
            <w:r>
              <w:rPr>
                <w:rFonts w:hint="default" w:ascii="Adobe Arabic" w:hAnsi="Adobe Arabic" w:cs="Adobe Arabic"/>
              </w:rPr>
              <w:drawing>
                <wp:inline distT="0" distB="0" distL="0" distR="0">
                  <wp:extent cx="3301365" cy="2292350"/>
                  <wp:effectExtent l="0" t="0" r="0" b="0"/>
                  <wp:docPr id="908022971" name="Picture 908022971" descr="Connected autonomous mine collage featuring connected and autonomous equipment, digital twins, AI analytics, predictive maintenance, safety monitoring, command-centre operations, edge-to-cloud connectivity, and cybersecu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22971" name="Picture 908022971" descr="Connected autonomous mine collage featuring connected and autonomous equipment, digital twins, AI analytics, predictive maintenance, safety monitoring, command-centre operations, edge-to-cloud connectivity, and cybersecurit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303496" cy="2293552"/>
                          </a:xfrm>
                          <a:prstGeom prst="rect">
                            <a:avLst/>
                          </a:prstGeom>
                          <a:noFill/>
                          <a:ln>
                            <a:noFill/>
                          </a:ln>
                        </pic:spPr>
                      </pic:pic>
                    </a:graphicData>
                  </a:graphic>
                </wp:inline>
              </w:drawing>
            </w:r>
          </w:p>
        </w:tc>
      </w:tr>
    </w:tbl>
    <w:p w14:paraId="309A17C1">
      <w:pPr>
        <w:jc w:val="both"/>
        <w:rPr>
          <w:rFonts w:hint="default" w:ascii="Adobe Arabic" w:hAnsi="Adobe Arabic" w:cs="Adobe Arabic"/>
          <w:sz w:val="22"/>
          <w:szCs w:val="22"/>
        </w:rPr>
      </w:pPr>
      <w:r>
        <w:rPr>
          <w:rFonts w:hint="default" w:ascii="Adobe Arabic" w:hAnsi="Adobe Arabic" w:cs="Adobe Arabic"/>
          <w:sz w:val="22"/>
          <w:szCs w:val="22"/>
        </w:rPr>
        <w:t>IoT serves as the foundational layer enabling this transformation.</w:t>
      </w:r>
    </w:p>
    <w:p w14:paraId="3E994496">
      <w:pPr>
        <w:rPr>
          <w:rFonts w:hint="default" w:ascii="Adobe Arabic" w:hAnsi="Adobe Arabic" w:cs="Adobe Arabic"/>
          <w:b/>
          <w:bCs/>
          <w:color w:val="0070C0"/>
        </w:rPr>
      </w:pPr>
      <w:r>
        <w:rPr>
          <w:rFonts w:hint="default" w:ascii="Adobe Arabic" w:hAnsi="Adobe Arabic" w:cs="Adobe Arabic"/>
          <w:b/>
          <w:bCs/>
          <w:color w:val="0070C0"/>
        </w:rPr>
        <w:t>Conclusion</w:t>
      </w:r>
    </w:p>
    <w:p w14:paraId="18E8F36E">
      <w:pPr>
        <w:jc w:val="both"/>
        <w:rPr>
          <w:rFonts w:hint="default" w:ascii="Adobe Arabic" w:hAnsi="Adobe Arabic" w:cs="Adobe Arabic"/>
          <w:sz w:val="22"/>
          <w:szCs w:val="22"/>
        </w:rPr>
      </w:pPr>
      <w:r>
        <w:rPr>
          <w:rFonts w:hint="default" w:ascii="Adobe Arabic" w:hAnsi="Adobe Arabic" w:cs="Adobe Arabic"/>
          <w:sz w:val="22"/>
          <w:szCs w:val="22"/>
        </w:rPr>
        <w:t>IoT is no longer simply a technology initiative; it is a strategic business capability that enables mining organizations to achieve higher productivity, safer operations, better asset performance, and improved workforce well-being.</w:t>
      </w:r>
    </w:p>
    <w:p w14:paraId="5364C984">
      <w:pPr>
        <w:jc w:val="both"/>
        <w:rPr>
          <w:rFonts w:hint="default" w:ascii="Adobe Arabic" w:hAnsi="Adobe Arabic" w:cs="Adobe Arabic"/>
          <w:sz w:val="22"/>
          <w:szCs w:val="22"/>
        </w:rPr>
      </w:pPr>
      <w:r>
        <w:rPr>
          <w:rFonts w:hint="default" w:ascii="Adobe Arabic" w:hAnsi="Adobe Arabic" w:cs="Adobe Arabic"/>
          <w:sz w:val="22"/>
          <w:szCs w:val="22"/>
        </w:rPr>
        <w:t>The strongest results will come from treating IoT as an enterprise architecture rather than a collection of disconnected pilots. Interoperability, cybersecurity, resilient connectivity, data quality, workforce adoption, and integration with existing operational systems are therefore as important as the sensors themselves.</w:t>
      </w:r>
    </w:p>
    <w:p w14:paraId="3BCF7AA2">
      <w:pPr>
        <w:jc w:val="both"/>
        <w:rPr>
          <w:rFonts w:hint="default" w:ascii="Adobe Arabic" w:hAnsi="Adobe Arabic" w:cs="Adobe Arabic"/>
          <w:sz w:val="22"/>
          <w:szCs w:val="22"/>
        </w:rPr>
      </w:pPr>
      <w:r>
        <w:rPr>
          <w:rFonts w:hint="default" w:ascii="Adobe Arabic" w:hAnsi="Adobe Arabic" w:cs="Adobe Arabic"/>
          <w:sz w:val="22"/>
          <w:szCs w:val="22"/>
        </w:rPr>
        <w:t>By integrating real-time traceability, predictive maintenance, intelligent safety systems, and health monitoring capabilities, mining companies can transition from reactive operations to predictive and autonomous decision-making models.</w:t>
      </w:r>
    </w:p>
    <w:p w14:paraId="44010C03">
      <w:pPr>
        <w:jc w:val="both"/>
        <w:rPr>
          <w:rFonts w:hint="default" w:ascii="Adobe Arabic" w:hAnsi="Adobe Arabic" w:cs="Adobe Arabic"/>
          <w:sz w:val="22"/>
          <w:szCs w:val="22"/>
        </w:rPr>
      </w:pPr>
      <w:r>
        <w:rPr>
          <w:rFonts w:hint="default" w:ascii="Adobe Arabic" w:hAnsi="Adobe Arabic" w:cs="Adobe Arabic"/>
          <w:sz w:val="22"/>
          <w:szCs w:val="22"/>
        </w:rPr>
        <w:t>Organizations that successfully deploy IoT across their mining ecosystem will be better positioned to improve operational resilience, reduce costs, enhance ESG performance, and create a safer and more sustainable future for their workforce.</w:t>
      </w:r>
    </w:p>
    <w:p w14:paraId="5976174F">
      <w:pPr>
        <w:jc w:val="center"/>
        <w:rPr>
          <w:rFonts w:hint="default" w:ascii="Adobe Arabic" w:hAnsi="Adobe Arabic" w:cs="Adobe Arabic"/>
          <w:sz w:val="22"/>
          <w:szCs w:val="22"/>
        </w:rPr>
      </w:pPr>
      <w:r>
        <w:rPr>
          <w:rFonts w:hint="default" w:ascii="Adobe Arabic" w:hAnsi="Adobe Arabic" w:cs="Adobe Arabic"/>
          <w:sz w:val="22"/>
          <w:szCs w:val="22"/>
        </w:rPr>
        <w:t>End</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440" w:bottom="993"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ptos">
    <w:altName w:val="SimSun"/>
    <w:panose1 w:val="00000000000000000000"/>
    <w:charset w:val="86"/>
    <w:family w:val="swiss"/>
    <w:pitch w:val="default"/>
    <w:sig w:usb0="00000000" w:usb1="00000000" w:usb2="00000000" w:usb3="00000000" w:csb0="0000019F" w:csb1="00000000"/>
  </w:font>
  <w:font w:name="Aptos">
    <w:altName w:val="Alex Brush"/>
    <w:panose1 w:val="00000000000000000000"/>
    <w:charset w:val="00"/>
    <w:family w:val="auto"/>
    <w:pitch w:val="default"/>
    <w:sig w:usb0="00000000" w:usb1="00000000" w:usb2="00000000" w:usb3="00000000" w:csb0="00000000" w:csb1="00000000"/>
  </w:font>
  <w:font w:name="Aptos Display">
    <w:altName w:val="Alex Brush"/>
    <w:panose1 w:val="00000000000000000000"/>
    <w:charset w:val="00"/>
    <w:family w:val="swiss"/>
    <w:pitch w:val="default"/>
    <w:sig w:usb0="00000000" w:usb1="00000000" w:usb2="00000000" w:usb3="00000000" w:csb0="0000019F" w:csb1="00000000"/>
  </w:font>
  <w:font w:name="等线 Light">
    <w:altName w:val="Alex Brush"/>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lex Brush">
    <w:panose1 w:val="02000400000000000000"/>
    <w:charset w:val="00"/>
    <w:family w:val="auto"/>
    <w:pitch w:val="default"/>
    <w:sig w:usb0="800000AF" w:usb1="5000204A" w:usb2="00000000" w:usb3="00000000" w:csb0="20000011" w:csb1="00000000"/>
  </w:font>
  <w:font w:name="Arial Unicode MS">
    <w:panose1 w:val="020B0604020202020204"/>
    <w:charset w:val="86"/>
    <w:family w:val="auto"/>
    <w:pitch w:val="default"/>
    <w:sig w:usb0="FFFFFFFF" w:usb1="E9FFFFFF" w:usb2="0000003F" w:usb3="00000000" w:csb0="603F01FF" w:csb1="FFFF0000"/>
  </w:font>
  <w:font w:name="Adobe Arabic">
    <w:panose1 w:val="02040503050201020203"/>
    <w:charset w:val="00"/>
    <w:family w:val="auto"/>
    <w:pitch w:val="default"/>
    <w:sig w:usb0="8000202F" w:usb1="8000A04A" w:usb2="00000008" w:usb3="00000000" w:csb0="20000041" w:csb1="00000000"/>
  </w:font>
  <w:font w:name="Adobe Caslon Pro">
    <w:panose1 w:val="0205050205050A020403"/>
    <w:charset w:val="00"/>
    <w:family w:val="auto"/>
    <w:pitch w:val="default"/>
    <w:sig w:usb0="00000007" w:usb1="00000001" w:usb2="00000000" w:usb3="00000000" w:csb0="20000093" w:csb1="00000000"/>
  </w:font>
  <w:font w:name="Adobe Caslon Pro Bold">
    <w:panose1 w:val="0205070206050A020403"/>
    <w:charset w:val="00"/>
    <w:family w:val="auto"/>
    <w:pitch w:val="default"/>
    <w:sig w:usb0="00000007" w:usb1="00000001" w:usb2="00000000" w:usb3="00000000" w:csb0="2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668E1">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26507">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EEEDC">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EC14B">
    <w:pPr>
      <w:jc w:val="right"/>
      <w:rPr>
        <w:i/>
        <w:iCs/>
      </w:rPr>
    </w:pPr>
    <w:r>
      <w:rPr>
        <w:i/>
        <w:iCs/>
        <w:sz w:val="18"/>
        <w:szCs w:val="18"/>
      </w:rPr>
      <w:t>White Paper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1B2D8">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7DB1C">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5C481C"/>
    <w:multiLevelType w:val="multilevel"/>
    <w:tmpl w:val="105C481C"/>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FB22031"/>
    <w:multiLevelType w:val="multilevel"/>
    <w:tmpl w:val="1FB22031"/>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
    <w:nsid w:val="2C421EAD"/>
    <w:multiLevelType w:val="multilevel"/>
    <w:tmpl w:val="2C421EAD"/>
    <w:lvl w:ilvl="0" w:tentative="0">
      <w:start w:val="1"/>
      <w:numFmt w:val="bullet"/>
      <w:lvlText w:val=""/>
      <w:lvlJc w:val="left"/>
      <w:pPr>
        <w:ind w:left="360" w:hanging="360"/>
      </w:pPr>
      <w:rPr>
        <w:rFonts w:hint="default" w:ascii="Symbol" w:hAnsi="Symbol"/>
      </w:rPr>
    </w:lvl>
    <w:lvl w:ilvl="1" w:tentative="0">
      <w:start w:val="1"/>
      <w:numFmt w:val="none"/>
      <w:lvlText w:val="4.1."/>
      <w:lvlJc w:val="left"/>
      <w:pPr>
        <w:ind w:left="792" w:hanging="432"/>
      </w:pPr>
      <w:rPr>
        <w:rFonts w:hint="default"/>
      </w:rPr>
    </w:lvl>
    <w:lvl w:ilvl="2" w:tentative="0">
      <w:start w:val="1"/>
      <w:numFmt w:val="decimal"/>
      <w:lvlText w:val="%1.%2.%3."/>
      <w:lvlJc w:val="left"/>
      <w:pPr>
        <w:ind w:left="1224" w:hanging="504"/>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3">
    <w:nsid w:val="31C93BB5"/>
    <w:multiLevelType w:val="multilevel"/>
    <w:tmpl w:val="31C93BB5"/>
    <w:lvl w:ilvl="0" w:tentative="0">
      <w:start w:val="1"/>
      <w:numFmt w:val="bullet"/>
      <w:lvlText w:val=""/>
      <w:lvlJc w:val="left"/>
      <w:pPr>
        <w:ind w:left="360" w:hanging="360"/>
      </w:pPr>
      <w:rPr>
        <w:rFonts w:hint="default" w:ascii="Symbol" w:hAnsi="Symbol"/>
      </w:rPr>
    </w:lvl>
    <w:lvl w:ilvl="1" w:tentative="0">
      <w:start w:val="1"/>
      <w:numFmt w:val="none"/>
      <w:lvlText w:val="2.1"/>
      <w:lvlJc w:val="left"/>
      <w:pPr>
        <w:ind w:left="792" w:hanging="432"/>
      </w:pPr>
      <w:rPr>
        <w:rFonts w:hint="default"/>
      </w:rPr>
    </w:lvl>
    <w:lvl w:ilvl="2" w:tentative="0">
      <w:start w:val="1"/>
      <w:numFmt w:val="decimal"/>
      <w:lvlText w:val="%1.%2.%3."/>
      <w:lvlJc w:val="left"/>
      <w:pPr>
        <w:ind w:left="1224" w:hanging="504"/>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4">
    <w:nsid w:val="32440E8D"/>
    <w:multiLevelType w:val="multilevel"/>
    <w:tmpl w:val="32440E8D"/>
    <w:lvl w:ilvl="0" w:tentative="0">
      <w:start w:val="1"/>
      <w:numFmt w:val="decimal"/>
      <w:lvlText w:val="%1."/>
      <w:lvlJc w:val="left"/>
      <w:pPr>
        <w:ind w:left="360" w:hanging="360"/>
      </w:pPr>
      <w:rPr>
        <w:rFonts w:hint="default"/>
      </w:rPr>
    </w:lvl>
    <w:lvl w:ilvl="1" w:tentative="0">
      <w:start w:val="1"/>
      <w:numFmt w:val="none"/>
      <w:lvlText w:val="2.1"/>
      <w:lvlJc w:val="left"/>
      <w:pPr>
        <w:ind w:left="792" w:hanging="432"/>
      </w:pPr>
      <w:rPr>
        <w:rFonts w:hint="default"/>
      </w:rPr>
    </w:lvl>
    <w:lvl w:ilvl="2" w:tentative="0">
      <w:start w:val="1"/>
      <w:numFmt w:val="decimal"/>
      <w:lvlText w:val="%1.%2.%3."/>
      <w:lvlJc w:val="left"/>
      <w:pPr>
        <w:ind w:left="1224" w:hanging="504"/>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5">
    <w:nsid w:val="348C12DA"/>
    <w:multiLevelType w:val="multilevel"/>
    <w:tmpl w:val="348C12DA"/>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3CA30A7E"/>
    <w:multiLevelType w:val="multilevel"/>
    <w:tmpl w:val="3CA30A7E"/>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7">
    <w:nsid w:val="56D036BF"/>
    <w:multiLevelType w:val="multilevel"/>
    <w:tmpl w:val="56D036BF"/>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8">
    <w:nsid w:val="71186EBC"/>
    <w:multiLevelType w:val="multilevel"/>
    <w:tmpl w:val="71186EBC"/>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Aptos" w:hAnsi="Aptos" w:eastAsiaTheme="minorHAnsi" w:cstheme="minorBidi"/>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754D632A"/>
    <w:multiLevelType w:val="multilevel"/>
    <w:tmpl w:val="754D632A"/>
    <w:lvl w:ilvl="0" w:tentative="0">
      <w:start w:val="1"/>
      <w:numFmt w:val="decimal"/>
      <w:lvlText w:val="%1."/>
      <w:lvlJc w:val="left"/>
      <w:pPr>
        <w:ind w:left="360" w:hanging="360"/>
      </w:pPr>
      <w:rPr>
        <w:rFonts w:hint="default"/>
      </w:rPr>
    </w:lvl>
    <w:lvl w:ilvl="1" w:tentative="0">
      <w:start w:val="1"/>
      <w:numFmt w:val="decimal"/>
      <w:lvlText w:val="4.%2."/>
      <w:lvlJc w:val="left"/>
      <w:pPr>
        <w:ind w:left="792" w:hanging="432"/>
      </w:pPr>
      <w:rPr>
        <w:rFonts w:hint="default"/>
      </w:rPr>
    </w:lvl>
    <w:lvl w:ilvl="2" w:tentative="0">
      <w:start w:val="1"/>
      <w:numFmt w:val="decimal"/>
      <w:lvlText w:val="%1.%2.%3."/>
      <w:lvlJc w:val="left"/>
      <w:pPr>
        <w:ind w:left="1224" w:hanging="504"/>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10">
    <w:nsid w:val="7C2D1071"/>
    <w:multiLevelType w:val="multilevel"/>
    <w:tmpl w:val="7C2D1071"/>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6"/>
  </w:num>
  <w:num w:numId="2">
    <w:abstractNumId w:val="7"/>
  </w:num>
  <w:num w:numId="3">
    <w:abstractNumId w:val="1"/>
  </w:num>
  <w:num w:numId="4">
    <w:abstractNumId w:val="10"/>
  </w:num>
  <w:num w:numId="5">
    <w:abstractNumId w:val="4"/>
  </w:num>
  <w:num w:numId="6">
    <w:abstractNumId w:val="3"/>
  </w:num>
  <w:num w:numId="7">
    <w:abstractNumId w:val="0"/>
  </w:num>
  <w:num w:numId="8">
    <w:abstractNumId w:val="5"/>
  </w:num>
  <w:num w:numId="9">
    <w:abstractNumId w:val="8"/>
  </w:num>
  <w:num w:numId="10">
    <w:abstractNumId w:val="4"/>
    <w:lvlOverride w:ilvl="0">
      <w:lvl w:ilvl="0" w:tentative="1">
        <w:start w:val="1"/>
        <w:numFmt w:val="decimal"/>
        <w:lvlText w:val="%1."/>
        <w:lvlJc w:val="left"/>
        <w:pPr>
          <w:ind w:left="360" w:hanging="360"/>
        </w:pPr>
        <w:rPr>
          <w:rFonts w:hint="default"/>
        </w:rPr>
      </w:lvl>
    </w:lvlOverride>
    <w:lvlOverride w:ilvl="1">
      <w:lvl w:ilvl="1" w:tentative="1">
        <w:start w:val="1"/>
        <w:numFmt w:val="none"/>
        <w:lvlText w:val="3.1"/>
        <w:lvlJc w:val="left"/>
        <w:pPr>
          <w:ind w:left="792" w:hanging="432"/>
        </w:pPr>
        <w:rPr>
          <w:rFonts w:hint="default"/>
        </w:rPr>
      </w:lvl>
    </w:lvlOverride>
    <w:lvlOverride w:ilvl="2">
      <w:lvl w:ilvl="2" w:tentative="1">
        <w:start w:val="1"/>
        <w:numFmt w:val="decimal"/>
        <w:lvlText w:val="%1.%2.%3."/>
        <w:lvlJc w:val="left"/>
        <w:pPr>
          <w:ind w:left="1224" w:hanging="504"/>
        </w:pPr>
        <w:rPr>
          <w:rFonts w:hint="default"/>
        </w:rPr>
      </w:lvl>
    </w:lvlOverride>
    <w:lvlOverride w:ilvl="3">
      <w:lvl w:ilvl="3" w:tentative="1">
        <w:start w:val="1"/>
        <w:numFmt w:val="decimal"/>
        <w:lvlText w:val="%1.%2.%3.%4."/>
        <w:lvlJc w:val="left"/>
        <w:pPr>
          <w:ind w:left="1728" w:hanging="648"/>
        </w:pPr>
        <w:rPr>
          <w:rFonts w:hint="default"/>
        </w:rPr>
      </w:lvl>
    </w:lvlOverride>
    <w:lvlOverride w:ilvl="4">
      <w:lvl w:ilvl="4" w:tentative="1">
        <w:start w:val="1"/>
        <w:numFmt w:val="decimal"/>
        <w:lvlText w:val="%1.%2.%3.%4.%5."/>
        <w:lvlJc w:val="left"/>
        <w:pPr>
          <w:ind w:left="2232" w:hanging="792"/>
        </w:pPr>
        <w:rPr>
          <w:rFonts w:hint="default"/>
        </w:rPr>
      </w:lvl>
    </w:lvlOverride>
    <w:lvlOverride w:ilvl="5">
      <w:lvl w:ilvl="5" w:tentative="1">
        <w:start w:val="1"/>
        <w:numFmt w:val="decimal"/>
        <w:lvlText w:val="%1.%2.%3.%4.%5.%6."/>
        <w:lvlJc w:val="left"/>
        <w:pPr>
          <w:ind w:left="2736" w:hanging="936"/>
        </w:pPr>
        <w:rPr>
          <w:rFonts w:hint="default"/>
        </w:rPr>
      </w:lvl>
    </w:lvlOverride>
    <w:lvlOverride w:ilvl="6">
      <w:lvl w:ilvl="6" w:tentative="1">
        <w:start w:val="1"/>
        <w:numFmt w:val="decimal"/>
        <w:lvlText w:val="%1.%2.%3.%4.%5.%6.%7."/>
        <w:lvlJc w:val="left"/>
        <w:pPr>
          <w:ind w:left="3240" w:hanging="1080"/>
        </w:pPr>
        <w:rPr>
          <w:rFonts w:hint="default"/>
        </w:rPr>
      </w:lvl>
    </w:lvlOverride>
    <w:lvlOverride w:ilvl="7">
      <w:lvl w:ilvl="7" w:tentative="1">
        <w:start w:val="1"/>
        <w:numFmt w:val="decimal"/>
        <w:lvlText w:val="%1.%2.%3.%4.%5.%6.%7.%8."/>
        <w:lvlJc w:val="left"/>
        <w:pPr>
          <w:ind w:left="3744" w:hanging="1224"/>
        </w:pPr>
        <w:rPr>
          <w:rFonts w:hint="default"/>
        </w:rPr>
      </w:lvl>
    </w:lvlOverride>
    <w:lvlOverride w:ilvl="8">
      <w:lvl w:ilvl="8" w:tentative="1">
        <w:start w:val="1"/>
        <w:numFmt w:val="decimal"/>
        <w:lvlText w:val="%1.%2.%3.%4.%5.%6.%7.%8.%9."/>
        <w:lvlJc w:val="left"/>
        <w:pPr>
          <w:ind w:left="4320" w:hanging="1440"/>
        </w:pPr>
        <w:rPr>
          <w:rFonts w:hint="default"/>
        </w:rPr>
      </w:lvl>
    </w:lvlOverride>
  </w:num>
  <w:num w:numId="11">
    <w:abstractNumId w:val="4"/>
    <w:lvlOverride w:ilvl="0">
      <w:lvl w:ilvl="0" w:tentative="1">
        <w:start w:val="1"/>
        <w:numFmt w:val="decimal"/>
        <w:lvlText w:val="%1."/>
        <w:lvlJc w:val="left"/>
        <w:pPr>
          <w:ind w:left="360" w:hanging="360"/>
        </w:pPr>
        <w:rPr>
          <w:rFonts w:hint="default"/>
        </w:rPr>
      </w:lvl>
    </w:lvlOverride>
    <w:lvlOverride w:ilvl="1">
      <w:lvl w:ilvl="1" w:tentative="1">
        <w:start w:val="1"/>
        <w:numFmt w:val="decimal"/>
        <w:lvlText w:val="%2.2"/>
        <w:lvlJc w:val="left"/>
        <w:pPr>
          <w:ind w:left="792" w:hanging="432"/>
        </w:pPr>
        <w:rPr>
          <w:rFonts w:hint="default"/>
        </w:rPr>
      </w:lvl>
    </w:lvlOverride>
    <w:lvlOverride w:ilvl="2">
      <w:lvl w:ilvl="2" w:tentative="1">
        <w:start w:val="1"/>
        <w:numFmt w:val="decimal"/>
        <w:lvlText w:val="%1.%2.%3."/>
        <w:lvlJc w:val="left"/>
        <w:pPr>
          <w:ind w:left="1224" w:hanging="504"/>
        </w:pPr>
        <w:rPr>
          <w:rFonts w:hint="default"/>
        </w:rPr>
      </w:lvl>
    </w:lvlOverride>
    <w:lvlOverride w:ilvl="3">
      <w:lvl w:ilvl="3" w:tentative="1">
        <w:start w:val="1"/>
        <w:numFmt w:val="decimal"/>
        <w:lvlText w:val="%1.%2.%3.%4."/>
        <w:lvlJc w:val="left"/>
        <w:pPr>
          <w:ind w:left="1728" w:hanging="648"/>
        </w:pPr>
        <w:rPr>
          <w:rFonts w:hint="default"/>
        </w:rPr>
      </w:lvl>
    </w:lvlOverride>
    <w:lvlOverride w:ilvl="4">
      <w:lvl w:ilvl="4" w:tentative="1">
        <w:start w:val="1"/>
        <w:numFmt w:val="decimal"/>
        <w:lvlText w:val="%1.%2.%3.%4.%5."/>
        <w:lvlJc w:val="left"/>
        <w:pPr>
          <w:ind w:left="2232" w:hanging="792"/>
        </w:pPr>
        <w:rPr>
          <w:rFonts w:hint="default"/>
        </w:rPr>
      </w:lvl>
    </w:lvlOverride>
    <w:lvlOverride w:ilvl="5">
      <w:lvl w:ilvl="5" w:tentative="1">
        <w:start w:val="1"/>
        <w:numFmt w:val="decimal"/>
        <w:lvlText w:val="%1.%2.%3.%4.%5.%6."/>
        <w:lvlJc w:val="left"/>
        <w:pPr>
          <w:ind w:left="2736" w:hanging="936"/>
        </w:pPr>
        <w:rPr>
          <w:rFonts w:hint="default"/>
        </w:rPr>
      </w:lvl>
    </w:lvlOverride>
    <w:lvlOverride w:ilvl="6">
      <w:lvl w:ilvl="6" w:tentative="1">
        <w:start w:val="1"/>
        <w:numFmt w:val="decimal"/>
        <w:lvlText w:val="%1.%2.%3.%4.%5.%6.%7."/>
        <w:lvlJc w:val="left"/>
        <w:pPr>
          <w:ind w:left="3240" w:hanging="1080"/>
        </w:pPr>
        <w:rPr>
          <w:rFonts w:hint="default"/>
        </w:rPr>
      </w:lvl>
    </w:lvlOverride>
    <w:lvlOverride w:ilvl="7">
      <w:lvl w:ilvl="7" w:tentative="1">
        <w:start w:val="1"/>
        <w:numFmt w:val="decimal"/>
        <w:lvlText w:val="%1.%2.%3.%4.%5.%6.%7.%8."/>
        <w:lvlJc w:val="left"/>
        <w:pPr>
          <w:ind w:left="3744" w:hanging="1224"/>
        </w:pPr>
        <w:rPr>
          <w:rFonts w:hint="default"/>
        </w:rPr>
      </w:lvl>
    </w:lvlOverride>
    <w:lvlOverride w:ilvl="8">
      <w:lvl w:ilvl="8" w:tentative="1">
        <w:start w:val="1"/>
        <w:numFmt w:val="decimal"/>
        <w:lvlText w:val="%1.%2.%3.%4.%5.%6.%7.%8.%9."/>
        <w:lvlJc w:val="left"/>
        <w:pPr>
          <w:ind w:left="4320" w:hanging="1440"/>
        </w:pPr>
        <w:rPr>
          <w:rFonts w:hint="default"/>
        </w:rPr>
      </w:lvl>
    </w:lvlOverride>
  </w:num>
  <w:num w:numId="12">
    <w:abstractNumId w:val="4"/>
    <w:lvlOverride w:ilvl="0">
      <w:lvl w:ilvl="0" w:tentative="1">
        <w:start w:val="1"/>
        <w:numFmt w:val="decimal"/>
        <w:lvlText w:val="%1."/>
        <w:lvlJc w:val="left"/>
        <w:pPr>
          <w:ind w:left="360" w:hanging="360"/>
        </w:pPr>
        <w:rPr>
          <w:rFonts w:hint="default"/>
        </w:rPr>
      </w:lvl>
    </w:lvlOverride>
    <w:lvlOverride w:ilvl="1">
      <w:lvl w:ilvl="1" w:tentative="1">
        <w:start w:val="1"/>
        <w:numFmt w:val="none"/>
        <w:lvlText w:val="3.4"/>
        <w:lvlJc w:val="left"/>
        <w:pPr>
          <w:ind w:left="792" w:hanging="432"/>
        </w:pPr>
        <w:rPr>
          <w:rFonts w:hint="default"/>
        </w:rPr>
      </w:lvl>
    </w:lvlOverride>
    <w:lvlOverride w:ilvl="2">
      <w:lvl w:ilvl="2" w:tentative="1">
        <w:start w:val="1"/>
        <w:numFmt w:val="decimal"/>
        <w:lvlText w:val="%1.%2.%3."/>
        <w:lvlJc w:val="left"/>
        <w:pPr>
          <w:ind w:left="1224" w:hanging="504"/>
        </w:pPr>
        <w:rPr>
          <w:rFonts w:hint="default"/>
        </w:rPr>
      </w:lvl>
    </w:lvlOverride>
    <w:lvlOverride w:ilvl="3">
      <w:lvl w:ilvl="3" w:tentative="1">
        <w:start w:val="1"/>
        <w:numFmt w:val="decimal"/>
        <w:lvlText w:val="%1.%2.%3.%4."/>
        <w:lvlJc w:val="left"/>
        <w:pPr>
          <w:ind w:left="1728" w:hanging="648"/>
        </w:pPr>
        <w:rPr>
          <w:rFonts w:hint="default"/>
        </w:rPr>
      </w:lvl>
    </w:lvlOverride>
    <w:lvlOverride w:ilvl="4">
      <w:lvl w:ilvl="4" w:tentative="1">
        <w:start w:val="1"/>
        <w:numFmt w:val="decimal"/>
        <w:lvlText w:val="%1.%2.%3.%4.%5."/>
        <w:lvlJc w:val="left"/>
        <w:pPr>
          <w:ind w:left="2232" w:hanging="792"/>
        </w:pPr>
        <w:rPr>
          <w:rFonts w:hint="default"/>
        </w:rPr>
      </w:lvl>
    </w:lvlOverride>
    <w:lvlOverride w:ilvl="5">
      <w:lvl w:ilvl="5" w:tentative="1">
        <w:start w:val="1"/>
        <w:numFmt w:val="decimal"/>
        <w:lvlText w:val="%1.%2.%3.%4.%5.%6."/>
        <w:lvlJc w:val="left"/>
        <w:pPr>
          <w:ind w:left="2736" w:hanging="936"/>
        </w:pPr>
        <w:rPr>
          <w:rFonts w:hint="default"/>
        </w:rPr>
      </w:lvl>
    </w:lvlOverride>
    <w:lvlOverride w:ilvl="6">
      <w:lvl w:ilvl="6" w:tentative="1">
        <w:start w:val="1"/>
        <w:numFmt w:val="decimal"/>
        <w:lvlText w:val="%1.%2.%3.%4.%5.%6.%7."/>
        <w:lvlJc w:val="left"/>
        <w:pPr>
          <w:ind w:left="3240" w:hanging="1080"/>
        </w:pPr>
        <w:rPr>
          <w:rFonts w:hint="default"/>
        </w:rPr>
      </w:lvl>
    </w:lvlOverride>
    <w:lvlOverride w:ilvl="7">
      <w:lvl w:ilvl="7" w:tentative="1">
        <w:start w:val="1"/>
        <w:numFmt w:val="decimal"/>
        <w:lvlText w:val="%1.%2.%3.%4.%5.%6.%7.%8."/>
        <w:lvlJc w:val="left"/>
        <w:pPr>
          <w:ind w:left="3744" w:hanging="1224"/>
        </w:pPr>
        <w:rPr>
          <w:rFonts w:hint="default"/>
        </w:rPr>
      </w:lvl>
    </w:lvlOverride>
    <w:lvlOverride w:ilvl="8">
      <w:lvl w:ilvl="8" w:tentative="1">
        <w:start w:val="1"/>
        <w:numFmt w:val="decimal"/>
        <w:lvlText w:val="%1.%2.%3.%4.%5.%6.%7.%8.%9."/>
        <w:lvlJc w:val="left"/>
        <w:pPr>
          <w:ind w:left="4320" w:hanging="1440"/>
        </w:pPr>
        <w:rPr>
          <w:rFonts w:hint="default"/>
        </w:rPr>
      </w:lvl>
    </w:lvlOverride>
  </w:num>
  <w:num w:numId="13">
    <w:abstractNumId w:val="4"/>
    <w:lvlOverride w:ilvl="0">
      <w:lvl w:ilvl="0" w:tentative="1">
        <w:start w:val="1"/>
        <w:numFmt w:val="decimal"/>
        <w:lvlText w:val="%1."/>
        <w:lvlJc w:val="left"/>
        <w:pPr>
          <w:ind w:left="360" w:hanging="360"/>
        </w:pPr>
        <w:rPr>
          <w:rFonts w:hint="default"/>
        </w:rPr>
      </w:lvl>
    </w:lvlOverride>
    <w:lvlOverride w:ilvl="1">
      <w:lvl w:ilvl="1" w:tentative="1">
        <w:start w:val="1"/>
        <w:numFmt w:val="none"/>
        <w:lvlText w:val="3.5"/>
        <w:lvlJc w:val="left"/>
        <w:pPr>
          <w:ind w:left="792" w:hanging="432"/>
        </w:pPr>
        <w:rPr>
          <w:rFonts w:hint="default"/>
        </w:rPr>
      </w:lvl>
    </w:lvlOverride>
    <w:lvlOverride w:ilvl="2">
      <w:lvl w:ilvl="2" w:tentative="1">
        <w:start w:val="1"/>
        <w:numFmt w:val="decimal"/>
        <w:lvlText w:val="%1.%2.%3."/>
        <w:lvlJc w:val="left"/>
        <w:pPr>
          <w:ind w:left="1224" w:hanging="504"/>
        </w:pPr>
        <w:rPr>
          <w:rFonts w:hint="default"/>
        </w:rPr>
      </w:lvl>
    </w:lvlOverride>
    <w:lvlOverride w:ilvl="3">
      <w:lvl w:ilvl="3" w:tentative="1">
        <w:start w:val="1"/>
        <w:numFmt w:val="decimal"/>
        <w:lvlText w:val="%1.%2.%3.%4."/>
        <w:lvlJc w:val="left"/>
        <w:pPr>
          <w:ind w:left="1728" w:hanging="648"/>
        </w:pPr>
        <w:rPr>
          <w:rFonts w:hint="default"/>
        </w:rPr>
      </w:lvl>
    </w:lvlOverride>
    <w:lvlOverride w:ilvl="4">
      <w:lvl w:ilvl="4" w:tentative="1">
        <w:start w:val="1"/>
        <w:numFmt w:val="decimal"/>
        <w:lvlText w:val="%1.%2.%3.%4.%5."/>
        <w:lvlJc w:val="left"/>
        <w:pPr>
          <w:ind w:left="2232" w:hanging="792"/>
        </w:pPr>
        <w:rPr>
          <w:rFonts w:hint="default"/>
        </w:rPr>
      </w:lvl>
    </w:lvlOverride>
    <w:lvlOverride w:ilvl="5">
      <w:lvl w:ilvl="5" w:tentative="1">
        <w:start w:val="1"/>
        <w:numFmt w:val="decimal"/>
        <w:lvlText w:val="%1.%2.%3.%4.%5.%6."/>
        <w:lvlJc w:val="left"/>
        <w:pPr>
          <w:ind w:left="2736" w:hanging="936"/>
        </w:pPr>
        <w:rPr>
          <w:rFonts w:hint="default"/>
        </w:rPr>
      </w:lvl>
    </w:lvlOverride>
    <w:lvlOverride w:ilvl="6">
      <w:lvl w:ilvl="6" w:tentative="1">
        <w:start w:val="1"/>
        <w:numFmt w:val="decimal"/>
        <w:lvlText w:val="%1.%2.%3.%4.%5.%6.%7."/>
        <w:lvlJc w:val="left"/>
        <w:pPr>
          <w:ind w:left="3240" w:hanging="1080"/>
        </w:pPr>
        <w:rPr>
          <w:rFonts w:hint="default"/>
        </w:rPr>
      </w:lvl>
    </w:lvlOverride>
    <w:lvlOverride w:ilvl="7">
      <w:lvl w:ilvl="7" w:tentative="1">
        <w:start w:val="1"/>
        <w:numFmt w:val="decimal"/>
        <w:lvlText w:val="%1.%2.%3.%4.%5.%6.%7.%8."/>
        <w:lvlJc w:val="left"/>
        <w:pPr>
          <w:ind w:left="3744" w:hanging="1224"/>
        </w:pPr>
        <w:rPr>
          <w:rFonts w:hint="default"/>
        </w:rPr>
      </w:lvl>
    </w:lvlOverride>
    <w:lvlOverride w:ilvl="8">
      <w:lvl w:ilvl="8" w:tentative="1">
        <w:start w:val="1"/>
        <w:numFmt w:val="decimal"/>
        <w:lvlText w:val="%1.%2.%3.%4.%5.%6.%7.%8.%9."/>
        <w:lvlJc w:val="left"/>
        <w:pPr>
          <w:ind w:left="4320" w:hanging="1440"/>
        </w:pPr>
        <w:rPr>
          <w:rFonts w:hint="default"/>
        </w:rPr>
      </w:lvl>
    </w:lvlOverride>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BB1"/>
    <w:rsid w:val="000446E2"/>
    <w:rsid w:val="000968DE"/>
    <w:rsid w:val="000A22AF"/>
    <w:rsid w:val="00194B21"/>
    <w:rsid w:val="00213875"/>
    <w:rsid w:val="002B7512"/>
    <w:rsid w:val="003C36EF"/>
    <w:rsid w:val="004F7D06"/>
    <w:rsid w:val="00574EBD"/>
    <w:rsid w:val="005E7898"/>
    <w:rsid w:val="0062114C"/>
    <w:rsid w:val="00663000"/>
    <w:rsid w:val="00684654"/>
    <w:rsid w:val="006B1C32"/>
    <w:rsid w:val="006E16C5"/>
    <w:rsid w:val="006E6BB1"/>
    <w:rsid w:val="00815027"/>
    <w:rsid w:val="00A255A8"/>
    <w:rsid w:val="00AA27DD"/>
    <w:rsid w:val="00B14B3F"/>
    <w:rsid w:val="00BB3171"/>
    <w:rsid w:val="00BF2FC0"/>
    <w:rsid w:val="00C44A77"/>
    <w:rsid w:val="00EC2E02"/>
    <w:rsid w:val="00F0018B"/>
    <w:rsid w:val="00F0580E"/>
    <w:rsid w:val="00F16518"/>
    <w:rsid w:val="00FA6E32"/>
    <w:rsid w:val="564A737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IN" w:eastAsia="en-US" w:bidi="ar-SA"/>
      <w14:ligatures w14:val="standardContextual"/>
    </w:rPr>
  </w:style>
  <w:style w:type="paragraph" w:styleId="2">
    <w:name w:val="heading 1"/>
    <w:basedOn w:val="1"/>
    <w:next w:val="1"/>
    <w:link w:val="22"/>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4"/>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5"/>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6"/>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7"/>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8"/>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caption"/>
    <w:basedOn w:val="1"/>
    <w:next w:val="1"/>
    <w:semiHidden/>
    <w:unhideWhenUsed/>
    <w:qFormat/>
    <w:uiPriority w:val="35"/>
    <w:pPr>
      <w:spacing w:after="200" w:line="240" w:lineRule="auto"/>
    </w:pPr>
    <w:rPr>
      <w:i/>
      <w:iCs/>
      <w:color w:val="0E2841" w:themeColor="text2"/>
      <w:sz w:val="18"/>
      <w:szCs w:val="18"/>
      <w14:textFill>
        <w14:solidFill>
          <w14:schemeClr w14:val="tx2"/>
        </w14:solidFill>
      </w14:textFill>
    </w:rPr>
  </w:style>
  <w:style w:type="character" w:styleId="14">
    <w:name w:val="Emphasis"/>
    <w:basedOn w:val="11"/>
    <w:qFormat/>
    <w:uiPriority w:val="20"/>
    <w:rPr>
      <w:i/>
      <w:iCs/>
    </w:rPr>
  </w:style>
  <w:style w:type="paragraph" w:styleId="15">
    <w:name w:val="footer"/>
    <w:basedOn w:val="1"/>
    <w:link w:val="41"/>
    <w:unhideWhenUsed/>
    <w:uiPriority w:val="99"/>
    <w:pPr>
      <w:tabs>
        <w:tab w:val="center" w:pos="4513"/>
        <w:tab w:val="right" w:pos="9026"/>
      </w:tabs>
      <w:spacing w:after="0" w:line="240" w:lineRule="auto"/>
    </w:pPr>
  </w:style>
  <w:style w:type="paragraph" w:styleId="16">
    <w:name w:val="header"/>
    <w:basedOn w:val="1"/>
    <w:link w:val="40"/>
    <w:unhideWhenUsed/>
    <w:uiPriority w:val="99"/>
    <w:pPr>
      <w:tabs>
        <w:tab w:val="center" w:pos="4513"/>
        <w:tab w:val="right" w:pos="9026"/>
      </w:tabs>
      <w:spacing w:after="0" w:line="240" w:lineRule="auto"/>
    </w:pPr>
  </w:style>
  <w:style w:type="paragraph" w:styleId="17">
    <w:name w:val="Normal (Web)"/>
    <w:basedOn w:val="1"/>
    <w:semiHidden/>
    <w:unhideWhenUsed/>
    <w:uiPriority w:val="99"/>
    <w:pPr>
      <w:spacing w:before="100" w:beforeAutospacing="1" w:after="100" w:afterAutospacing="1" w:line="240" w:lineRule="auto"/>
    </w:pPr>
    <w:rPr>
      <w:rFonts w:ascii="Times New Roman" w:hAnsi="Times New Roman" w:cs="Times New Roman"/>
      <w:lang w:eastAsia="en-IN"/>
    </w:rPr>
  </w:style>
  <w:style w:type="character" w:styleId="18">
    <w:name w:val="Strong"/>
    <w:basedOn w:val="11"/>
    <w:qFormat/>
    <w:uiPriority w:val="22"/>
    <w:rPr>
      <w:b/>
      <w:bCs/>
    </w:rPr>
  </w:style>
  <w:style w:type="paragraph" w:styleId="19">
    <w:name w:val="Subtitle"/>
    <w:basedOn w:val="1"/>
    <w:next w:val="1"/>
    <w:link w:val="3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0">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Title"/>
    <w:basedOn w:val="1"/>
    <w:next w:val="1"/>
    <w:link w:val="31"/>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2">
    <w:name w:val="Heading 1 Char"/>
    <w:basedOn w:val="11"/>
    <w:link w:val="2"/>
    <w:uiPriority w:val="9"/>
    <w:rPr>
      <w:rFonts w:asciiTheme="majorHAnsi" w:hAnsiTheme="majorHAnsi" w:eastAsiaTheme="majorEastAsia" w:cstheme="majorBidi"/>
      <w:color w:val="104862" w:themeColor="accent1" w:themeShade="BF"/>
      <w:sz w:val="40"/>
      <w:szCs w:val="40"/>
    </w:rPr>
  </w:style>
  <w:style w:type="character" w:customStyle="1" w:styleId="23">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4">
    <w:name w:val="Heading 3 Char"/>
    <w:basedOn w:val="11"/>
    <w:link w:val="4"/>
    <w:semiHidden/>
    <w:uiPriority w:val="9"/>
    <w:rPr>
      <w:rFonts w:eastAsiaTheme="majorEastAsia" w:cstheme="majorBidi"/>
      <w:color w:val="104862" w:themeColor="accent1" w:themeShade="BF"/>
      <w:sz w:val="28"/>
      <w:szCs w:val="28"/>
    </w:rPr>
  </w:style>
  <w:style w:type="character" w:customStyle="1" w:styleId="25">
    <w:name w:val="Heading 4 Char"/>
    <w:basedOn w:val="11"/>
    <w:link w:val="5"/>
    <w:semiHidden/>
    <w:uiPriority w:val="9"/>
    <w:rPr>
      <w:rFonts w:eastAsiaTheme="majorEastAsia" w:cstheme="majorBidi"/>
      <w:i/>
      <w:iCs/>
      <w:color w:val="104862" w:themeColor="accent1" w:themeShade="BF"/>
    </w:rPr>
  </w:style>
  <w:style w:type="character" w:customStyle="1" w:styleId="26">
    <w:name w:val="Heading 5 Char"/>
    <w:basedOn w:val="11"/>
    <w:link w:val="6"/>
    <w:semiHidden/>
    <w:uiPriority w:val="9"/>
    <w:rPr>
      <w:rFonts w:eastAsiaTheme="majorEastAsia" w:cstheme="majorBidi"/>
      <w:color w:val="104862" w:themeColor="accent1" w:themeShade="BF"/>
    </w:rPr>
  </w:style>
  <w:style w:type="character" w:customStyle="1" w:styleId="27">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itle Char"/>
    <w:basedOn w:val="11"/>
    <w:link w:val="21"/>
    <w:uiPriority w:val="10"/>
    <w:rPr>
      <w:rFonts w:asciiTheme="majorHAnsi" w:hAnsiTheme="majorHAnsi" w:eastAsiaTheme="majorEastAsia" w:cstheme="majorBidi"/>
      <w:spacing w:val="-10"/>
      <w:kern w:val="28"/>
      <w:sz w:val="56"/>
      <w:szCs w:val="56"/>
    </w:rPr>
  </w:style>
  <w:style w:type="character" w:customStyle="1" w:styleId="32">
    <w:name w:val="Subtitle Char"/>
    <w:basedOn w:val="11"/>
    <w:link w:val="19"/>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Quote Char"/>
    <w:basedOn w:val="11"/>
    <w:link w:val="33"/>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Intense Emphasis"/>
    <w:basedOn w:val="11"/>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Intense Quote Char"/>
    <w:basedOn w:val="11"/>
    <w:link w:val="37"/>
    <w:uiPriority w:val="30"/>
    <w:rPr>
      <w:i/>
      <w:iCs/>
      <w:color w:val="104862" w:themeColor="accent1" w:themeShade="BF"/>
    </w:rPr>
  </w:style>
  <w:style w:type="character" w:customStyle="1" w:styleId="39">
    <w:name w:val="Intense Reference"/>
    <w:basedOn w:val="11"/>
    <w:qFormat/>
    <w:uiPriority w:val="32"/>
    <w:rPr>
      <w:b/>
      <w:bCs/>
      <w:smallCaps/>
      <w:color w:val="104862" w:themeColor="accent1" w:themeShade="BF"/>
      <w:spacing w:val="5"/>
    </w:rPr>
  </w:style>
  <w:style w:type="character" w:customStyle="1" w:styleId="40">
    <w:name w:val="Header Char"/>
    <w:basedOn w:val="11"/>
    <w:link w:val="16"/>
    <w:uiPriority w:val="99"/>
  </w:style>
  <w:style w:type="character" w:customStyle="1" w:styleId="41">
    <w:name w:val="Footer Char"/>
    <w:basedOn w:val="11"/>
    <w:link w:val="15"/>
    <w:uiPriority w:val="99"/>
  </w:style>
  <w:style w:type="character" w:customStyle="1" w:styleId="42">
    <w:name w:val="Book Title"/>
    <w:basedOn w:val="11"/>
    <w:qFormat/>
    <w:uiPriority w:val="33"/>
    <w:rPr>
      <w:b/>
      <w:bCs/>
      <w:i/>
      <w:iCs/>
      <w:spacing w:val="5"/>
    </w:rPr>
  </w:style>
  <w:style w:type="paragraph" w:styleId="43">
    <w:name w:val="No Spacing"/>
    <w:qFormat/>
    <w:uiPriority w:val="1"/>
    <w:pPr>
      <w:spacing w:after="0" w:line="240" w:lineRule="auto"/>
    </w:pPr>
    <w:rPr>
      <w:rFonts w:asciiTheme="minorHAnsi" w:hAnsiTheme="minorHAnsi" w:eastAsiaTheme="minorHAnsi" w:cstheme="minorBidi"/>
      <w:kern w:val="2"/>
      <w:sz w:val="24"/>
      <w:szCs w:val="24"/>
      <w:lang w:val="en-IN" w:eastAsia="en-US" w:bidi="ar-SA"/>
      <w14:ligatures w14:val="standardContextual"/>
    </w:rPr>
  </w:style>
  <w:style w:type="character" w:customStyle="1" w:styleId="44">
    <w:name w:val="Subtle Emphasis"/>
    <w:basedOn w:val="11"/>
    <w:qFormat/>
    <w:uiPriority w:val="19"/>
    <w:rPr>
      <w:i/>
      <w:iCs/>
      <w:color w:val="404040" w:themeColor="text1" w:themeTint="BF"/>
      <w14:textFill>
        <w14:solidFill>
          <w14:schemeClr w14:val="tx1">
            <w14:lumMod w14:val="75000"/>
            <w14:lumOff w14:val="25000"/>
          </w14:schemeClr>
        </w14:solidFill>
      </w14:textFill>
    </w:rPr>
  </w:style>
  <w:style w:type="character" w:customStyle="1" w:styleId="45">
    <w:name w:val="Subtle Reference"/>
    <w:basedOn w:val="11"/>
    <w:qFormat/>
    <w:uiPriority w:val="31"/>
    <w:rPr>
      <w:smallCaps/>
      <w:color w:val="595959" w:themeColor="text1" w:themeTint="A6"/>
      <w14:textFill>
        <w14:solidFill>
          <w14:schemeClr w14:val="tx1">
            <w14:lumMod w14:val="65000"/>
            <w14:lumOff w14:val="35000"/>
          </w14:schemeClr>
        </w14:solidFill>
      </w14:textFill>
    </w:rPr>
  </w:style>
  <w:style w:type="paragraph" w:customStyle="1" w:styleId="46">
    <w:name w:val="TOC Heading"/>
    <w:basedOn w:val="2"/>
    <w:next w:val="1"/>
    <w:semiHidden/>
    <w:unhideWhenUsed/>
    <w:qFormat/>
    <w:uiPriority w:val="39"/>
    <w:pPr>
      <w:spacing w:before="240" w:after="0"/>
      <w:outlineLvl w:val="9"/>
    </w:pPr>
    <w:rPr>
      <w:sz w:val="32"/>
      <w:szCs w:val="32"/>
    </w:rPr>
  </w:style>
  <w:style w:type="table" w:customStyle="1" w:styleId="47">
    <w:name w:val="Grid Table 4 Accent 5"/>
    <w:basedOn w:val="12"/>
    <w:uiPriority w:val="49"/>
    <w:pPr>
      <w:spacing w:after="0" w:line="240" w:lineRule="auto"/>
    </w:pPr>
    <w:tblPr>
      <w:tblBorders>
        <w:top w:val="single" w:color="D76DCC" w:themeColor="accent5" w:themeTint="99" w:sz="4" w:space="0"/>
        <w:left w:val="single" w:color="D76DCC" w:themeColor="accent5" w:themeTint="99" w:sz="4" w:space="0"/>
        <w:bottom w:val="single" w:color="D76DCC" w:themeColor="accent5" w:themeTint="99" w:sz="4" w:space="0"/>
        <w:right w:val="single" w:color="D76DCC" w:themeColor="accent5" w:themeTint="99" w:sz="4" w:space="0"/>
        <w:insideH w:val="single" w:color="D76DCC" w:themeColor="accent5" w:themeTint="99" w:sz="4" w:space="0"/>
        <w:insideV w:val="single" w:color="D76DCC" w:themeColor="accent5" w:themeTint="99" w:sz="4" w:space="0"/>
      </w:tblBorders>
    </w:tblPr>
    <w:tblStylePr w:type="firstRow">
      <w:rPr>
        <w:b/>
        <w:bCs/>
        <w:color w:val="FFFFFF" w:themeColor="background1"/>
        <w14:textFill>
          <w14:solidFill>
            <w14:schemeClr w14:val="bg1"/>
          </w14:solidFill>
        </w14:textFill>
      </w:rPr>
      <w:tcPr>
        <w:tcBorders>
          <w:top w:val="single" w:color="A02B93" w:themeColor="accent5" w:sz="4" w:space="0"/>
          <w:left w:val="single" w:color="A02B93" w:themeColor="accent5" w:sz="4" w:space="0"/>
          <w:bottom w:val="single" w:color="A02B93" w:themeColor="accent5" w:sz="4" w:space="0"/>
          <w:right w:val="single" w:color="A02B93" w:themeColor="accent5" w:sz="4" w:space="0"/>
          <w:insideH w:val="nil"/>
          <w:insideV w:val="nil"/>
        </w:tcBorders>
        <w:shd w:val="clear" w:color="auto" w:fill="A02B93" w:themeFill="accent5"/>
      </w:tcPr>
    </w:tblStylePr>
    <w:tblStylePr w:type="lastRow">
      <w:rPr>
        <w:b/>
        <w:bCs/>
      </w:rPr>
      <w:tcPr>
        <w:tcBorders>
          <w:top w:val="double" w:color="A02B93" w:themeColor="accent5" w:sz="4" w:space="0"/>
        </w:tcBorders>
      </w:tcPr>
    </w:tblStylePr>
    <w:tblStylePr w:type="firstCol">
      <w:rPr>
        <w:b/>
        <w:bCs/>
      </w:rPr>
    </w:tblStylePr>
    <w:tblStylePr w:type="lastCol">
      <w:rPr>
        <w:b/>
        <w:bCs/>
      </w:rPr>
    </w:tblStylePr>
    <w:tblStylePr w:type="band1Vert">
      <w:tcPr>
        <w:shd w:val="clear" w:color="auto" w:fill="F1CEEE" w:themeFill="accent5" w:themeFillTint="33"/>
      </w:tcPr>
    </w:tblStylePr>
    <w:tblStylePr w:type="band1Horz">
      <w:tcPr>
        <w:shd w:val="clear" w:color="auto" w:fill="F1CEEE" w:themeFill="accent5" w:themeFillTint="33"/>
      </w:tcPr>
    </w:tblStylePr>
  </w:style>
  <w:style w:type="table" w:customStyle="1" w:styleId="48">
    <w:name w:val="Grid Table 4 Accent 4"/>
    <w:basedOn w:val="12"/>
    <w:uiPriority w:val="49"/>
    <w:pPr>
      <w:spacing w:after="0" w:line="240" w:lineRule="auto"/>
    </w:pPr>
    <w:tblPr>
      <w:tblBorders>
        <w:top w:val="single" w:color="60CBF3" w:themeColor="accent4" w:themeTint="99" w:sz="4" w:space="0"/>
        <w:left w:val="single" w:color="60CBF3" w:themeColor="accent4" w:themeTint="99" w:sz="4" w:space="0"/>
        <w:bottom w:val="single" w:color="60CBF3" w:themeColor="accent4" w:themeTint="99" w:sz="4" w:space="0"/>
        <w:right w:val="single" w:color="60CBF3" w:themeColor="accent4" w:themeTint="99" w:sz="4" w:space="0"/>
        <w:insideH w:val="single" w:color="60CBF3" w:themeColor="accent4" w:themeTint="99" w:sz="4" w:space="0"/>
        <w:insideV w:val="single" w:color="60CBF3" w:themeColor="accent4" w:themeTint="99" w:sz="4" w:space="0"/>
      </w:tblBorders>
    </w:tblPr>
    <w:tblStylePr w:type="firstRow">
      <w:rPr>
        <w:b/>
        <w:bCs/>
        <w:color w:val="FFFFFF" w:themeColor="background1"/>
        <w14:textFill>
          <w14:solidFill>
            <w14:schemeClr w14:val="bg1"/>
          </w14:solidFill>
        </w14:textFill>
      </w:r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insideV w:val="nil"/>
        </w:tcBorders>
        <w:shd w:val="clear" w:color="auto" w:fill="0F9ED5" w:themeFill="accent4"/>
      </w:tcPr>
    </w:tblStylePr>
    <w:tblStylePr w:type="lastRow">
      <w:rPr>
        <w:b/>
        <w:bCs/>
      </w:rPr>
      <w:tcPr>
        <w:tcBorders>
          <w:top w:val="double" w:color="0F9ED5" w:themeColor="accent4" w:sz="4" w:space="0"/>
        </w:tcBorders>
      </w:tcPr>
    </w:tblStylePr>
    <w:tblStylePr w:type="firstCol">
      <w:rPr>
        <w:b/>
        <w:bCs/>
      </w:rPr>
    </w:tblStylePr>
    <w:tblStylePr w:type="lastCol">
      <w:rPr>
        <w:b/>
        <w:bCs/>
      </w:rPr>
    </w:tblStylePr>
    <w:tblStylePr w:type="band1Vert">
      <w:tcPr>
        <w:shd w:val="clear" w:color="auto" w:fill="CAEDFB" w:themeFill="accent4" w:themeFillTint="33"/>
      </w:tcPr>
    </w:tblStylePr>
    <w:tblStylePr w:type="band1Horz">
      <w:tcPr>
        <w:shd w:val="clear" w:color="auto" w:fill="CAEDFB" w:themeFill="accent4" w:themeFillTint="33"/>
      </w:tcPr>
    </w:tblStylePr>
  </w:style>
  <w:style w:type="table" w:customStyle="1" w:styleId="49">
    <w:name w:val="Grid Table 4 Accent 1"/>
    <w:basedOn w:val="12"/>
    <w:uiPriority w:val="49"/>
    <w:pPr>
      <w:spacing w:after="0" w:line="240" w:lineRule="auto"/>
    </w:pPr>
    <w:tblP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14:textFill>
          <w14:solidFill>
            <w14:schemeClr w14:val="bg1"/>
          </w14:solidFill>
        </w14:textFill>
      </w:r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cPr>
        <w:tcBorders>
          <w:top w:val="double" w:color="156082" w:themeColor="accent1" w:sz="4" w:space="0"/>
        </w:tcBorders>
      </w:tcPr>
    </w:tblStylePr>
    <w:tblStylePr w:type="firstCol">
      <w:rPr>
        <w:b/>
        <w:bCs/>
      </w:rPr>
    </w:tblStylePr>
    <w:tblStylePr w:type="lastCol">
      <w:rPr>
        <w:b/>
        <w:bCs/>
      </w:rPr>
    </w:tblStylePr>
    <w:tblStylePr w:type="band1Vert">
      <w:tcPr>
        <w:shd w:val="clear" w:color="auto" w:fill="C1E4F5" w:themeFill="accent1" w:themeFillTint="33"/>
      </w:tcPr>
    </w:tblStylePr>
    <w:tblStylePr w:type="band1Horz">
      <w:tcPr>
        <w:shd w:val="clear" w:color="auto" w:fill="C1E4F5" w:themeFill="accent1" w:themeFillTint="33"/>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3.jpeg"/><Relationship Id="rId13" Type="http://schemas.openxmlformats.org/officeDocument/2006/relationships/image" Target="media/image2.pn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2517</Words>
  <Characters>14348</Characters>
  <Lines>119</Lines>
  <Paragraphs>33</Paragraphs>
  <TotalTime>112</TotalTime>
  <ScaleCrop>false</ScaleCrop>
  <LinksUpToDate>false</LinksUpToDate>
  <CharactersWithSpaces>16832</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2026-09-11T11:39:00Z</dcterms:created>
  <dc:creator>Anjali ACS</dc:creator>
  <cp:lastModifiedBy>admin</cp:lastModifiedBy>
  <dcterms:modified xsi:type="dcterms:W3CDTF">2026-10-08T13:38:28Z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5A6EC0EAE4E6466681ADB9A2BF41D501_12</vt:lpwstr>
  </property>
</Properties>
</file>